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ATAS/399/2018 vom 8. Mai 2018</w:t>
      </w:r>
    </w:p>
    <w:p>
      <w:r>
        <w:t>GE Cour de justice, 2018-05-08, FR</w:t>
      </w:r>
    </w:p>
    <w:p>
      <w:r>
        <w:rPr>
          <w:b/>
        </w:rPr>
        <w:t xml:space="preserve">Quelle: </w:t>
      </w:r>
      <w:r>
        <w:t>https://mcp.opencaselaw.ch/entscheid/ge_gerichte_ATAS_399_2018</w:t>
      </w:r>
    </w:p>
    <w:p>
      <w:r>
        <w:t>FR: GE_GERICHTE ATAS/399/2018 du 8 mai 2018</w:t>
      </w:r>
    </w:p>
    <w:p>
      <w:r>
        <w:t>IT: GE_GERICHTE ATAS/399/2018 del 8 maggio 2018</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La demanderesse a déposé le 9 janvier 2018 une demande auprès de la chambre de céans visant à la révision de l’arrêt rendu par celle-ci le 14 novembre 2017, dans la cause l’opposant à la CSS. Il y a d’emblée lieu de préciser que la composition de la chambre de céans pour le présent arrêt a dû être modifiée, en ce sens que Monsieur C______, juge assesseur, a remplacé Madame D______, juge assesseur, au vu de la démission de celle-ci au 31 décembre 2017.</w:t>
      </w:r>
    </w:p>
    <w:p>
      <w:r>
        <w:rPr>
          <w:b/>
        </w:rPr>
        <w:t>E. 3</w:t>
      </w:r>
    </w:p>
    <w:p>
      <w:r>
        <w:t>a. Aux termes de l’art. 80 LPA,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w:t>
      </w:r>
    </w:p>
    <w:p>
      <w:r>
        <w:t>A/4280/2017 - 5/8 - b. La procédure administrative genevoise est similaire à la procédure fédérale en matière de révision (Benoît BOVAY, Procédure administrative, 2ème éd. 2015, p. 677), en particulier en ce qui concerne le motif de révision prévu aux articles 80 let. c) LPA, 121 let. d de la loi fédérale sur le Tribunal fédéral du 17 juin 2005 (LTF - RS 173.110) et 136 let. d de la loi fédérale d'organisation judiciaire du 16 décembre 1943 (aOJF - RS 173.110) en vigueur jusqu'au 31 décembre 2006 (arrêt du Tribunal fédéral 4F_7/2007 du 28 septembre 2007, consid. 2.1). En vertu de l'art. 121 let. d LTF, la révision d'un arrêt du Tribunal fédéral peut être demandée si, par inadvertance, le tribunal n'a pas pris en considération des faits pertinents qui ressortent du dossier. Il s'ensuit que la jurisprudence du Tribunal fédéral en matière de demande de révision fondée tant sur la LTF que sur l'aOJF peut servir de référence en la matière (arrêt du Tribunal administratif genevois n° ATA/385/2010 du 8 juin 2010, consid. 2).</w:t>
      </w:r>
    </w:p>
    <w:p>
      <w:r>
        <w:t>Selon la jurisprudence du Tribunal fédéral relative à l'art. 121 let. d LTF (art. 136 let. d aOJF), l'inadvertance suppose que le tribunal ait omis de prendre en considération une pièce déterminée, versée au dossier, ou l'ait mal lue, s'écartant par mégarde de sa teneur exacte. Cette notion se rapporte au contenu même du fait, et non à son appréciation juridique ; elle se distingue de la fausse appréciation soit des preuves administrées devant le Tribunal fédéral, soit de la portée juridique des faits établis (ATF 122 II 17 consid. 3; 115 II 399 consid. 2a; 96 I 279 consid. 3). Il faut en outre que les faits qui n'ont pas été pris en considération soient des faits pertinents, susceptibles d'entraîner une décision différente de celle qui a été prise et plus favorable au requérant (arrêts du Tribunal fédéral 1F_2/2014 du 3 juillet 2014 consid. 1.1, 4F_7/2007 du 28 septembre 2007, consid. 2.1 ; ATF 122 II 17 consid. 3 p. 18; 101 Ib 220 consid. 1; 96 I 279 consid. 3). Il sied par ailleurs de rappeler que la révision, voie de droit extraordinaire, se distingue de l'appel. Elle vise à empêcher que le tribunal fonde sa conviction sur un état de fait incomplet et ignore des éléments déterminants qui résultent des pièces du dossier; elle n'a pas pour but de permettre un réexamen de la solution juridique retenue par l'arrêt dont la révision est demandée (arrêts du Tribunal fédéral 1F_12/2015 du 27 avril 2015 consid. 3, 2A.287/2001 du 2 juillet 2001, consid. 1b; arrêt du Tribunal administratif genevois n° ATA/385/2010 du 8 juin 2010, consid. 3). c. La notion de faits ou moyens de preuve nouveaux s'apprécie de la même manière en cas de révision (procédurale) d'une décision administrative (art. 53 al. 1 LPGA), de révision d'un jugement cantonal (art. 61 let. i LPGA) ou de révision d'un arrêt fondée sur l'art. 123 al. 2 let. a LTF.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w:t>
      </w:r>
    </w:p>
    <w:p>
      <w:r>
        <w:t>A/4280/2017 - 6/8 -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(ATF 127 V 358; ATF du 24 février 2010 8C 934/2009). d. Lorsque le tribunal estime que le motif de révision est établi, il doit annuler totalement ou partiellement l'arrêt rendu et statuer à nouveau au fond (cf. BOVAY, Procédure administrative, éd. Staempfli, p. 441).</w:t>
      </w:r>
    </w:p>
    <w:p>
      <w:r>
        <w:rPr>
          <w:b/>
        </w:rPr>
        <w:t>E. 4</w:t>
      </w:r>
    </w:p>
    <w:p>
      <w:r>
        <w:t>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L'administration n'est pas tenue de reconsidérer les décisions qui remplissent les conditions fixées; elle en a simplement la faculté et ni l'assuré ni le juge ne peut l'y contraindre. Le corollaire en est que les décisions portant sur un refus d'entrer en matière sur une demande de reconsidération ne peuvent pas faire l'objet d'un contrôle en justice (ATF 133 V 50 consid. 4.1; ATF 119 V 475 consid. 1b/cc; ATF 117 V 8 consid. 2a; ATF non publié 8C_866/2009 du 27 avril 2010 consid. 2.2;). Une administration refuse d'entrer en matière sur une demande de reconsidération lorsqu'elle se borne à procéder à un examen sommaire de la requête et répète les motifs invoqués dans la décision initiale (ATF 117 V 8 consid. 2b/aa).</w:t>
      </w:r>
    </w:p>
    <w:p>
      <w:r>
        <w:rPr>
          <w:b/>
        </w:rPr>
        <w:t>E. 5</w:t>
      </w:r>
    </w:p>
    <w:p>
      <w:r>
        <w:t>En l'espèce, la demanderesse prie la chambre de céans « de résoudre tout de suite sa situation en répondant avec moins de négligence à l’affaire juridique (…) et en lui restituant sans retard ses droits et ses moyens ». Elle produit à l’appui de sa demande une « décision de la commission de surveillance des instances judiciaires suisses » datée du 9 mai 2016, aux termes de laquelle, notamment, la curatelle sur l’intéressé est levée. Elle invoque ainsi un fait nouveau au sens de l’art. 80 let. b LPA. En effet, c’est principalement en raison de la mesure de curatelle prononcée à l’encontre de l’intéressé, le 14 février 2014, que la chambre de céans a déclaré, dans son arrêt du 14 novembre 2017, que la requête du 24 mars 2017 était irrecevable. Il y a toutefois lieu de relever qu’aucune commission de surveillance des instances judiciaires suisses n’a jamais été instituée. Tant le fond de la décision que la forme sont incohérents et incompréhensibles, de sorte que l’authenticité d’un tel document ne peut être que niée.</w:t>
      </w:r>
    </w:p>
    <w:p>
      <w:r>
        <w:rPr>
          <w:b/>
        </w:rPr>
        <w:t>E. 6</w:t>
      </w:r>
    </w:p>
    <w:p>
      <w:r>
        <w:t>Force est de constater que la demanderesse ne fait dès lors valoir aucun motif qui permettrait la révision de l’arrêt du 14 novembre 2017. Elle n’allègue pas non plus que la chambre de céans aurait omis de prendre en considération une pièce déterminée, versée au dossier.</w:t>
      </w:r>
    </w:p>
    <w:p>
      <w:r>
        <w:t>A/4280/2017 - 7/8 - Aussi la demande de révision est-elle rejetée.</w:t>
      </w:r>
    </w:p>
    <w:p>
      <w:r>
        <w:t>A/4280/2017 - 8/8 - PAR CES MOTIFS, LA CHAMBRE DES ASSURANCES SOCIALES : Statuant sur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