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ATAS/398/2021 vom 30. April 2021</w:t>
      </w:r>
    </w:p>
    <w:p>
      <w:r>
        <w:t>GE Cour de justice, 2021-04-30, FR</w:t>
      </w:r>
    </w:p>
    <w:p>
      <w:r>
        <w:rPr>
          <w:b/>
        </w:rPr>
        <w:t xml:space="preserve">Quelle: </w:t>
      </w:r>
      <w:r>
        <w:t>https://mcp.opencaselaw.ch/entscheid/ge_gerichte_ATAS_398_2021</w:t>
      </w:r>
    </w:p>
    <w:p>
      <w:r>
        <w:t>FR: GE_GERICHTE ATAS/398/2021 du 30 avril 2021</w:t>
      </w:r>
    </w:p>
    <w:p>
      <w:r>
        <w:t>IT: GE_GERICHTE ATAS/398/2021 del 30 aprile 2021</w:t>
      </w:r>
    </w:p>
    <w:p>
      <w:pPr>
        <w:pStyle w:val="Heading2"/>
      </w:pPr>
      <w:r>
        <w:t>Erwägungen</w:t>
      </w:r>
    </w:p>
    <w:p>
      <w:r>
        <w:rPr>
          <w:b/>
        </w:rPr>
        <w:t>E. 29</w:t>
      </w:r>
    </w:p>
    <w:p>
      <w:r>
        <w:t>Par courrier du 12 mars 2021, la chambre de céans a informé les parties de son intention de mettre en œuvre une expertise rhumatologique et gastroentérologique et leur a communiqué le nom des experts pressentis, ainsi que les questions qu’elle avait l’intention de leur poser, en leur impartissant un délai pour faire valoir une éventuelle cause de récusation et se déterminer sur les questions posées.</w:t>
      </w:r>
    </w:p>
    <w:p>
      <w:r>
        <w:rPr>
          <w:b/>
        </w:rPr>
        <w:t>E. 30</w:t>
      </w:r>
    </w:p>
    <w:p>
      <w:r>
        <w:t>L’intimé a demandé l’ajout à la mission d’expertise de la question suivante : « en cas de diagnostic de fibromyalgie ou de trouble somatoforme douloureux, demander une expertise psychiatrique et évaluer les indicateurs standards jurisprudentiels de gravité ».</w:t>
      </w:r>
    </w:p>
    <w:p>
      <w:r>
        <w:rPr>
          <w:b/>
        </w:rPr>
        <w:t>E. 31</w:t>
      </w:r>
    </w:p>
    <w:p>
      <w:r>
        <w:t>La recourante a requis deux compléments à la liste des questions. Elle demandait que la question 7.2 soit ainsi libellée : « Propositions thérapeutiques et analyse de leurs effets, - à court, moyen et long cours -, sur la capacité de travail de l’assurée ». S’agissant des questions 8.1, 8.2, 8.3 et 8.4, elle souhaitait l’ajout suivant : « Dans quelle mesure et pour quel(s) motif(s) ? ».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la forme et le délai prévus par la loi, le recours est recevable (art. 56 ss LPGA et 62 ss LPA). 3. Le litige porte sur le droit de la recourante à des prestations de l’assurance- invalidité. 4. Aux termes de l’art. 8 al. 1 LPGA, est réputée invalidité l’incapacité de gain totale ou partielle qui est présumée permanente ou de longue durée. Selon l’art. 7 LPGA, est réputée incapacité de gain toute diminution de l'ensemble ou d'une partie des</w:t>
      </w:r>
    </w:p>
    <w:p>
      <w:r>
        <w:t>A/807/2020 - 15/21 -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5. Dans un arrêt du 3 novembre 2015 (9C_153/2015), le Tribunal fédéral a jugé, s’agissant d’une personne souffrant d’un rhumatisme psoriasique, que lorsqu'il s'agissait de déterminer la capacité résiduelle de travail d'une personne atteinte d'une maladie qui évolue par poussées, il convient d'intégrer dans le cadre de la réflexion la question de l'évolution dans le temps de la maladie, soit de tenir compte notamment de la fréquence et de l'intensité des poussées. Il n'est pas suffisant de se fonder sur une évaluation médicale qui ne reflète qu'une image instantanée de la situation; celle-ci doit bien au contraire tracer de manière précise l'évolution – passée et future – de la capacité de travail. L’expert doit se prononcer sur l'évolution chronologique de la pathologie et apprécier, dans une perspective à long terme, le retentissement global que celle-ci a sur la capacité de travail du recourant. 6. a. Pour pouvoir calculer le degré d’invalidité, le juge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A/807/2020 - 16/21 -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w:t>
      </w:r>
    </w:p>
    <w:p>
      <w:r>
        <w:t>A/807/2020 - 17/21 -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8.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9. En l’espèce, selon l’évaluation consensuelle de l’expertise du 19 août 2019, la capacité de travail de la recourante dans une activité adaptée était de 100% avec une baisse de rendement de 20% depuis 2013, pour tenir compte de l’asthénie secondaire à la pathologie inflammatoire et aux troubles digestifs. Les experts ont ensuite relevé que l’assurée pourrait avoir des interruptions de travail si la maladie était en poussée et qu’on assistait depuis le début de l’année 2019 à une péjoration de l’état de santé de la recourante, mais sans en tenir compte dans l’appréciation de la capacité de travail. L’expertise souffre ainsi d’un défaut important, de sorte</w:t>
      </w:r>
    </w:p>
    <w:p>
      <w:r>
        <w:t>A/807/2020 - 18/21 - qu’elle ne peut se voir reconnaître une pleine valeur probante. Il se justifie en conséquence de faire procéder à une nouvelle expertise gastroentérologique et rhumatologique. Il n’apparaît pas d’emblée nécessaire de faire procéder également à une expertise psychiatrique. Si nécessaire, en particulier si les diagnostics de fibromyalgie ou de troubles somatoformes sont posés ou évoqués par les experts, une telle expertise sera ordonnée en complément, afin notamment que soient examinés les indicateurs jurisprudentiels de gravité.</w:t>
      </w:r>
    </w:p>
    <w:p>
      <w:r>
        <w:t>A/807/2020 - 19/21 -</w:t>
      </w:r>
    </w:p>
    <w:p>
      <w:r>
        <w:t>PAR CES MOTIFS, LA CHAMBRE DES ASSURANCES SOCIALES : Statuant préparatoirement : I. Ordonne une expertise gastroentérologique et rhumatologique de Madame A______. II. Commet à ces fins le docteur I______, sous la supervision du professeur J______, spécialistes FMH en rhumatologie et le docteur K______, sous la supervision du professeur L______, spécialiste FMH en gastroentérologie. III. Dit que la mission d’expertise sera la suivante : A. Prendre connaissance du dossier de la cause. B. Si nécessaire prendre tous renseignements auprès des médecins ayant traité l'assurée. C. Examiner l'assurée et, si nécessaire, ordonner d'autres examens. IV. Charge chacun des experts d’établir un rapport détaillé et de répondre aux questions suivantes : 1. Anamnèse détaillée 2. Plaintes de l'assurée 3. Status et constatations objectives 4. Diagnostics 4.1 Avec répercussion sur la capacité de travail 4.1.1 Dates d'apparition 4.2 Sans répercussion sur la capacité de travail 4.2.2 Dates d'apparition 5. Limitations fonctionnelles 5.1. Indiquer les limitations fonctionnelles en relation avec chaque diagnostic 5.1.2 Date d'apparition 6. Capacité de travail 6.1 L'assurée est-elle capable d’exercer son ancienne activité lucrative ? 6.1.2 Si non, ou seulement partiellement, pourquoi ? Quelles sont les limitations fonctionnelles qui entrent en ligne de compte ?</w:t>
      </w:r>
    </w:p>
    <w:p>
      <w:r>
        <w:t>A/807/2020 - 20/21 - 6.1.3 Depuis quelle date sa capacité de travail est-elle réduite/ nulle ? (tenir compte notamment de la fréquence et de l'intensité des poussées. Il n'est pas suffisant de se fonder sur une évaluation médicale qui ne reflète qu'une image instantanée de la situation; celle-ci doit bien au contraire tracer de manière précise l'évolution – passée et future – de la capacité de travail. L’expert doit se prononcer sur l'évolution chronologique de la pathologie et apprécier, dans une perspective à long terme, le retentissement global que celle-ci a sur la capacité de travail du recourant selon la jurisprudence.) 6.2 L'assurée est-elle capable d’exercer une activité lucrative adaptée à ses limitations fonctionnelles ? 6.2.1 Si non ou dans une mesure restreinte, pour quels motifs ? Quelles sont les limitations fonctionnelles qui entrent en ligne de compte ? 6.2.2 Si oui, quelle activité lucrative ? À quel taux ? Depuis quelle date ? 6.3 Des mesures médicales sont-elles nécessaires préalablement à la reprise d’une activité lucrative ? Si oui, lesquelles ? 6.4 Comment la capacité de travail de l'assurée a-t-elle évolué depuis décembre 2016? 6.5 Quel est votre pronostic quant à l’exigibilité de la reprise d’une activité lucrative ? 7. Traitement 7.1 Examen du traitement suivi par l'assurée et analyse de son adéquation. 7.2 Propositions thérapeutiques et analyse de leurs effets – à court, moyen et long cours - sur la capacité de travail de l'assurée. 8. Appréciation d'avis médicaux du dossier 8.1 Êtes-vous d'accord avec le rapport du CEMEDEX du 19 août 2019 ? 8.2 Êtes-vous d’accord les rapports établis les 29 mai 2017 et 28 janvier 2020 par la Dresse B______ ? Dans quelle mesure et pour quel(s) motif(s) ? 8.3 Êtes-vous d’accord les rapports établis les 26 avril 2018 et 28 janvier 2020 par la Dresse D______ ? Dans quelle mesure et pour quel(s) motif(s) ? 8.4 Êtes-vous d’accord les rapports établis les 10 janvier 2017, 29 mai 2017 et 5 février 2020 par la Dresse C______ ? Dans quelle mesure et pour quel(s) motif(s) ? 9. Quel est le pronostic ? 10. Des mesures de réadaptation professionnelle sont-elles envisageables ?</w:t>
      </w:r>
    </w:p>
    <w:p>
      <w:r>
        <w:t>A/807/2020 - 21/21 - 11. Faire toutes autres observations ou suggestions utiles, en particulier estimez-vous qu’une expertise complémentaire devrait être ordonnée sur le plan rhumatologique, notamment ? V. Invite les experts à faire une appréciation consensuelle du cas s’agissant de toutes les problématiques ayant des interférences entre elles, notamment l’appréciation de la capacité de travail résiduelle. VI. Invite les experts à déposer, dans les meilleurs délais, un rapport en trois exemplaires à la chambre de céans. VII. Réserve le sort des frais jusqu’à droit jugé au fond.</w:t>
      </w:r>
    </w:p>
    <w:p>
      <w:r>
        <w:t>La greffière</w:t>
      </w:r>
    </w:p>
    <w:p>
      <w:r>
        <w:t>Isabelle CASTILLO</w:t>
      </w:r>
    </w:p>
    <w:p>
      <w:r>
        <w:t>La présidente</w:t>
      </w:r>
    </w:p>
    <w:p>
      <w:r>
        <w:t>Catherine TAPPONNIER</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