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ATAS/397/2025 vom 28. Mai 2025</w:t>
      </w:r>
    </w:p>
    <w:p>
      <w:r>
        <w:t>GE Cour de justice, 2025-05-28, FR</w:t>
      </w:r>
    </w:p>
    <w:p>
      <w:r>
        <w:rPr>
          <w:b/>
        </w:rPr>
        <w:t xml:space="preserve">Quelle: </w:t>
      </w:r>
      <w:r>
        <w:t>https://mcp.opencaselaw.ch/entscheid/ge_gerichte_ATAS_397_2025</w:t>
      </w:r>
    </w:p>
    <w:p>
      <w:r>
        <w:t>FR: GE_GERICHTE ATAS/397/2025 du 28 mai 2025</w:t>
      </w:r>
    </w:p>
    <w:p>
      <w:r>
        <w:t>IT: GE_GERICHTE ATAS/397/2025 del 28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60 al. 1 LPGA).</w:t>
      </w:r>
    </w:p>
    <w:p>
      <w:r>
        <w:rPr>
          <w:b/>
        </w:rPr>
        <w:t>E. 2</w:t>
      </w:r>
    </w:p>
    <w:p>
      <w:r>
        <w:t>À teneur de l’art. 1 al. 1 LACI, les dispositions de la LPGA s’appliquent à l’assurance-chômage obligatoire et à l’indemnité en cas d’insolvabilité, à moins que la LACI n’y déroge expressément.</w:t>
      </w:r>
    </w:p>
    <w:p>
      <w:r>
        <w:rPr>
          <w:b/>
        </w:rPr>
        <w:t>E. 3</w:t>
      </w:r>
    </w:p>
    <w:p>
      <w:r>
        <w:t>Le litige porte sur le bien-fondé de la suspension du droit à l’indemnité de chômage du recourant durant 9 jours à partir du 23 septembre 2024.</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w:t>
      </w:r>
    </w:p>
    <w:p>
      <w:r>
        <w:t>A/248/2025 - 6/14 - édictées par le Secrétariat d’Etat à l’économie (ci-après : SECO) en sa qualité d’autorité de surveillance de l’assurance-chômage chargée d’assurer une application uniforme du droit (art. 110 LACI), notamment par le biais de la Directive LACI IC relative à l’indemnité de chômage (ci-après : Directive LACI IC).</w:t>
      </w:r>
    </w:p>
    <w:p>
      <w:r>
        <w:rPr>
          <w:b/>
        </w:rPr>
        <w:t>E. 4.2</w:t>
      </w:r>
    </w:p>
    <w:p>
      <w:r>
        <w:t>La condition de satisfaire aux exigences du contrôle, posée par l’art. 8 al. 1 let. g LACI, renvoie aux devoirs de l’assuré et prescriptions de contrôle prévus par l’art. 17 LACI. Aux termes de l’art. 17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(al. 1). Il doit apporter la preuve des efforts qu’il a fournis. L’assuré doit se conformer aux prescriptions de contrôle édictées par le Conseil fédéral (al. 2, 2e phase LACI). Selon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d’excuses valables, les recherches d’emploi ne sont plus prises en considération (al. 2).</w:t>
      </w:r>
    </w:p>
    <w:p>
      <w:r>
        <w:rPr>
          <w:b/>
        </w:rPr>
        <w:t>E. 4.3</w:t>
      </w:r>
    </w:p>
    <w:p>
      <w:r>
        <w:t>Pour juger de la suffisance des efforts consentis par l’assuré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77/2006 du 6 mars 2007). En outre, l’inscription auprès d’agences d’emplois temporaires ne saurait être assimilée à des recherches de travail (arrêt du Tribunal fédéral 8C_800/2008 du 8 avril 2009). Sur le plan qualitatif, on peut attendre d’un assuré qu’il ne se contente pas de démarches par téléphone, mais qu’il réponde également à des offres d’emploi par écrit. Les recherches d’emploi impliquent une démarche concrète à l’égard d’un employeur potentiel, selon les méthodes de postulation ordinaires (arrêt du Tribunal fédéral C 6/2005 du 6 mars 2006). En s’inscrivant pour toucher des indemnités, l’assuré doit fournir à l’office compétent la preuve des efforts qu’il entreprend pour trouver du travail (cf. art. 26</w:t>
      </w:r>
    </w:p>
    <w:p>
      <w:r>
        <w:t>A/248/2025 - 7/14 -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trois derniers mois (Directive LACI IC – juillet 2024 – B314 ; arrêt du Tribunal fédéral 8C_800/2008 du 8 avril 2009), le but étant de parer au risque accru de chômage prévisible existant dans le cadre de rapports de travail de durée limitée ou résiliés (ATF 141 V 365 consid. 4.2). L’élément essentiel pour déterminer la période à prendre en considération lors de l’examen de recherches d’emploi est le moment où la personne a connaissance du fait qu’elle est objectivement menacée de chômage (cf. Directive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(cf. entre autres les arrêts ATAS/1281/2010 consid. 6 du 8 décembre 2010 et ATAS/267/2018 du 26 mars 2018). Enfin, le site internet de l’OCE mentionne qu’avant de faire appel aux prestations du chômage, il faut faire au minimum huit RPE par mois (https://www.ge.ch/inscrire-au-chomage).</w:t>
      </w:r>
    </w:p>
    <w:p>
      <w:r>
        <w:rPr>
          <w:b/>
        </w:rPr>
        <w:t>E. 4.4</w:t>
      </w:r>
    </w:p>
    <w:p>
      <w:r>
        <w:t>Étant donné que l’art. 1 al. 2 LACI exclut l’application de l’art. 21 LPGA pour la réduction et le refus des prestations en matière d’assurance-chômage, la suspension du droit à l’indemnité est soumise exclusivement à l’art. 30 LACI (cf. Thomas NUSSBAUMER, Arbeitslosenversicherung, in Ulrich MEYER [éd.], Schweizerisches Bundesverwaltungsrecht [SBVR], vol. XIV, Soziale Sicherheit, 3e éd. 2016, n. 831).</w:t>
      </w:r>
    </w:p>
    <w:p>
      <w:r>
        <w:t>A/248/2025 - 8/14 - 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 LACI).</w:t>
      </w:r>
    </w:p>
    <w:p>
      <w:r>
        <w:rPr>
          <w:b/>
        </w:rPr>
        <w:t>E. 4.5</w:t>
      </w:r>
    </w:p>
    <w:p>
      <w:r>
        <w:t>Conformément à l’art. 30 al. 2 LACI, l’autorité cantonale prononce la suspension au sens de l’al. 1, let. c. La durée de la suspension est proportionnelle à la gravité de la faute selon l’art. 30 al. 3, troisième phrase,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w:t>
      </w:r>
    </w:p>
    <w:p>
      <w:r>
        <w:rPr>
          <w:b/>
        </w:rPr>
        <w:t>E. 4.5.1</w:t>
      </w:r>
    </w:p>
    <w:p>
      <w:r>
        <w:t>La durée de la suspension du droit à l’indemnité de chômage est fixée compte tenu non seulement de la faute, mais également du principe de proportionnalité (cf. Thomas NUSSBAUMER, op. cit., n. 855 p. 2435). En tant qu’autorité de surveillance, le SECO a adopté dans sa Directive LACI IC un barème indicatif à l’intention des organes d’exécution (ci-après : barème du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w:t>
      </w:r>
    </w:p>
    <w:p>
      <w:r>
        <w:t>A/248/2025 - 9/14 -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(ATF 141 V 365 consid. 2.4 ; arrêt du tribunal fédéral 8C_214/2020 du 18 février 2021 consid. 3.2).</w:t>
      </w:r>
    </w:p>
    <w:p>
      <w:r>
        <w:rPr>
          <w:b/>
        </w:rPr>
        <w:t>E. 4.5.2</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(Directive LACI IC, ch.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10 janvier 2020 consid. 6.1). Une durée de trois mois est prise en compte dans les cas de contrat de durée déterminée (arrêt du Tribunal fédéral 8C_800/2008 précité).</w:t>
      </w:r>
    </w:p>
    <w:p>
      <w:r>
        <w:rPr>
          <w:b/>
        </w:rPr>
        <w:t>E. 4.5.3</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ayant fait une pause dans ses recherches d’emploi pendant plus d’un mois au cours de la période de congé doit être sanctionné quand bien même il a fait des recherches d’emploi quantitativement et qualitativement suffisantes au cours de l’ensemble de la période précédant son chômage (ATF 139 V 524 consid. 4.2).</w:t>
      </w:r>
    </w:p>
    <w:p>
      <w:r>
        <w:rPr>
          <w:b/>
        </w:rPr>
        <w:t>E. 4.6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En ce</w:t>
      </w:r>
    </w:p>
    <w:p>
      <w:r>
        <w:t>A/248/2025 - 10/14 - qui concerne l’opportunité de la décision administrative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w:t>
      </w:r>
    </w:p>
    <w:p>
      <w:r>
        <w:rPr>
          <w:b/>
        </w:rPr>
        <w:t>E. 4.7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4.8</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Le devoir du juge de constater les faits pertinents ne dispense donc pas les parties de collaborer à l’administration des preuves en donnant des indications sur les faits de la cause ou en désignant des moyens de preuve (ATF 130 I 180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t>A/248/2025 - 11/14 -</w:t>
      </w:r>
    </w:p>
    <w:p>
      <w:r>
        <w:rPr>
          <w:b/>
        </w:rPr>
        <w:t>E. 5.1</w:t>
      </w:r>
    </w:p>
    <w:p>
      <w:r>
        <w:t>En l’occurrence, l’intimé a appliqué la sanction minimale prévue par le barème du SECO en cas d’inobservation injustifiée des prescriptions en matière de recherches d’emploi dans le cadre d’un contrat de durée déterminée, soit 9 jours de suspension du droit à l’indemnité de chômage (ci-dessus : consid. 4.5.2), au motif que le recourant n’avait effectué que quatre RPE entre le 1er et le 23 septembre 2024 (au lieu des 24 demandées, soit huit par mois, respectivement deux par semaine) durant la période de trois mois précédant son inscription à l’OCE le 23 septembre. Le recourant fait valoir pour sa part n’avoir pas été informé de son obligation d’effectuer des RPE dans le cadre de sa situation particulière, caractérisée par une promesse d’emploi que E______ lui avait faite le 20 juin 2024 en cours de stage, mais restée sans effet, ce qu’il n’avait appris que le 19 septembre 2024, la raison invoquée à cette date par E______, à l’appui de la non conclusion d’un contrat de travail, étant d’ordre budgétaire.</w:t>
      </w:r>
    </w:p>
    <w:p>
      <w:r>
        <w:rPr>
          <w:b/>
        </w:rPr>
        <w:t>E. 5.2</w:t>
      </w:r>
    </w:p>
    <w:p>
      <w:r>
        <w:t>Concernant tout d’abord le défaut d’information reproché par le recourant, la chambre de céans constate que ce dernier savait ou à tout le moins devait savoir que des RPE avant l’inscription au chômage étaient exigées. En effet, le recourant s’était déjà inscrit (une première fois) à l’OCE le 19 janvier 2024 et le courrier d’annulation de son dossier, du 30 janvier 2024, l’avait rendu attentif au fait qu’en cas de réinscription à l’assurance-chômage, des preuves de recherches d’emploi (au minimum huit par mois), portant en principe sur les trois derniers mois, avant son retour au chômage lui seraient demandées. On rappellera par ailleurs que l’obligation de rechercher un emploi avant le début du chômage – qui découle de l’art. 26 al. 2 OACI – constitue une règle élémentaire de comportement, de sorte qu’un assuré doit être en principe sanctionné même s’il n’a pas été renseigné précisément sur les conséquences de son inaction (cf. ci-dessus : consid. 4.3). Se pose donc la question de savoir si la promesse d’emploi que le recourant allègue avoir reçue le 20 juin 2024 de E______ était de nature à le dispenser de telles recherches. Il convient d’y répondre par la négative pour les raisons exposées ci-après.</w:t>
      </w:r>
    </w:p>
    <w:p>
      <w:r>
        <w:rPr>
          <w:b/>
        </w:rPr>
        <w:t>E. 5.2.1</w:t>
      </w:r>
    </w:p>
    <w:p>
      <w:r>
        <w:t>Pour qu’on puisse admettre qu’une personne est assurée d’obtenir un autre emploi, il faut qu’elle-même et l’employeur aient, de façon expresse ou par actes concluants, manifesté réciproquement et d’une manière concordante leur volonté de conclure un contrat de travail au sens des art. 319 ss de la loi fédérale du 30 mars 1911, complétant le Code civil suisse (CO, Code des obligations – RS 220). Un contrat de travail – voire un précontrat – en la forme orale suffit (dans ce sens : arrêt du Tribunal fédéral des assurances C 302/01 du 4 février 2003 consid. 2.2). Un précontrat doit contenir tous les éléments essentiels du futur contrat principal (ATF 31 II 640, cité in CARRON / GAURON-CARLIN, Code civil et Code des obligations annotés, 12e éd., 2024 ad art. 22 CO). Le précontrat qui contient déjà</w:t>
      </w:r>
    </w:p>
    <w:p>
      <w:r>
        <w:t>A/248/2025 - 12/14 - tous les éléments essentiels du contrat principal doit être assimilé à ce contrat (arrêt du Tribunal fédéral 4C.394/2002 du 28 mars 2003 consid. 3.2.1).</w:t>
      </w:r>
    </w:p>
    <w:p>
      <w:r>
        <w:rPr>
          <w:b/>
        </w:rPr>
        <w:t>E. 5.2.2</w:t>
      </w:r>
    </w:p>
    <w:p>
      <w:r>
        <w:t>En l’espèce, il ne ressort pas du courrier du 22 janvier 2025, cosigné par G______, que le recourant pouvait déduire des déclarations de ce dernier, du 20 juin 2024, que la convention de stage de formation déboucherait directement sur un contrat de travail une fois le stage terminé. On constate en effet que le contenu précis de ces déclarations n’est pas rapporté mais que le recourant détaille en revanche le comportement qu’il a adopté après les avoir entendues : « suite à cette annonce qui s’est faite lors de mon stage de formation professionnelle dans cette entreprise, je me suis donc impliqué à plus de 100% pour prouver ma bonne volonté en travaillant 7/7 jours [environ] 10 heures par jour ». Or, ce sont là des indices qui tendent plutôt à démontrer que le recourant voulait se montrer digne d’un engagement futur qu’il avait l’espoir de voir aboutir. Dans le même sens, il ne ressort pas du courrier du 22 janvier 2025 que les éléments essentiels dont le recourant entendait faire dépendre la conclusion d’un contrat de travail – parmi ceux-ci : la rémunération, question qui était sans objet durant le stage, non rémunéré (cf. art. 6 de la convention) – auraient fait l’objet d’un contrat ou d’un précontrat (même oral) dès le 20 juin 2024, appelé à déployer ses effets trois mois plus tard. Il apparaît au contraire que E______ a attendu le 19 septembre 2025 pour faire part au recourant d’une prise de position claire sur ces éléments essentiels, en lui manifestant sa volonté de ne pas s’attacher ses services pour une activité de mécanicien rémunérée : « Puis à ma grande déception, M. G______ m’a annoncé le 19.09.2024 [qu’il] ne pouvait au final pas m’intégrer dans l’entreprise pour que j’y travaille et que je sois rémunéré (cela pour cause budgétaire, car avoir un mécanicien à 100% n’était pas possible, à part durant les week-ends de course, ce qui [ne] représente que 4 week-ends de course durant l’année » ; pièce 29 intimé, p. 4). Dans ces conditions, la venue à chef d’un contrat ou précontrat avant le 19 septembre 2024 n’est pas prouvée et, partant, son inexécution par E______ non plus. Au regard des principes exposés ci-dessus (cf. consid. 4.3), il incombait donc au recourant d’entamer des démarches en vue de trouver un nouvel emploi au cours des derniers mois de son stage. Dans ces conditions, il n’a pas fait tous les efforts que l’on pouvait raisonnablement exiger de lui pour éviter le chômage au sens de l’art. 17 al. 1, 1re phrase LACI, si bien que son comportement doit être sanctionné.</w:t>
      </w:r>
    </w:p>
    <w:p>
      <w:r>
        <w:rPr>
          <w:b/>
        </w:rPr>
        <w:t>E. 5.3</w:t>
      </w:r>
    </w:p>
    <w:p>
      <w:r>
        <w:t>En ce qui concerne la quotité de la sanction, la décision du 27 novembre 2024, confirmée sur opposition, l’a fixée à 9 jours en retenant que les explications de l’assuré sur le lien de causalité entre « la promesse non tenue » et l’inscription au chômage ne pouvaient pas être retenues pour justifier ses recherches d’emploi insuffisantes (au nombre de quatre entre le 1er et le 23 septembre 2024) au cours des mois ayant précédé cette inscription. Cette durée ne tient cependant pas compte d’un possible malentendu qui a pu survenir avec E______ au sujet de</w:t>
      </w:r>
    </w:p>
    <w:p>
      <w:r>
        <w:t>A/248/2025 - 13/14 - l’avenir professionnel de l’assuré dans l’entreprise. Selon la jurisprudence en effet, même s’il n’est que « possible », un malentendu quant à la poursuite d’une relation de travail peut constituer un motif d’atténuation de la sanction (dans ce sens : arrêt du Tribunal fédéral 8C_271/2008 du 25 septembre 2008 précité, consid. 3.3). Au regard de ces circonstances, il y a lieu de ramener la durée de la suspension à sept jours.</w:t>
      </w:r>
    </w:p>
    <w:p>
      <w:r>
        <w:rPr>
          <w:b/>
        </w:rPr>
        <w:t>E. 6</w:t>
      </w:r>
    </w:p>
    <w:p>
      <w:r>
        <w:t>Compte tenu de ce qui précède, le recours est partiellement admis et la décision litigieuse réformée en ce sens que la durée de la suspension du droit du recourant à l’indemnité de chômage est réduite à 7 jours, à compter du 23 septembre 2024.</w:t>
      </w:r>
    </w:p>
    <w:p>
      <w:r>
        <w:rPr>
          <w:b/>
        </w:rPr>
        <w:t>E. 7.1</w:t>
      </w:r>
    </w:p>
    <w:p>
      <w:r>
        <w:t>Bien qu’il obtienne partiellement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125 II 518 et Jean MÉTRAL, in DUPONT / MOSER-SZELESS [éd.], Commentaire romand de la loi sur la partie générale des assurances sociales n. 103 ad art. 61 LPGA).</w:t>
      </w:r>
    </w:p>
    <w:p>
      <w:r>
        <w:rPr>
          <w:b/>
        </w:rPr>
        <w:t>E. 7.2</w:t>
      </w:r>
    </w:p>
    <w:p>
      <w:r>
        <w:t>Pour le surplus, la procédure est gratuite (art. 61 let. fbis LPGA a contrario).</w:t>
      </w:r>
    </w:p>
    <w:p>
      <w:r>
        <w:t>*****</w:t>
      </w:r>
    </w:p>
    <w:p>
      <w:r>
        <w:t>A/248/2025 - 14/14 -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