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ATAS/397/2024 vom 28. Mai 2024</w:t>
      </w:r>
    </w:p>
    <w:p>
      <w:r>
        <w:t>GE Cour de justice, 2024-05-28, FR</w:t>
      </w:r>
    </w:p>
    <w:p>
      <w:r>
        <w:rPr>
          <w:b/>
        </w:rPr>
        <w:t xml:space="preserve">Quelle: </w:t>
      </w:r>
      <w:r>
        <w:t>https://mcp.opencaselaw.ch/entscheid/ge_gerichte_ATAS_397_2024</w:t>
      </w:r>
    </w:p>
    <w:p>
      <w:r>
        <w:t>FR: GE_GERICHTE ATAS/397/2024 du 28 mai 2024</w:t>
      </w:r>
    </w:p>
    <w:p>
      <w:r>
        <w:t>IT: GE_GERICHTE ATAS/397/2024 del 28 maggio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A/1957/2023 - 10/21 -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2022, les modifications de la LAI du 19 juin 2020 (développement continu de l’AI ; RO 2021 705) ainsi que celles du</w:t>
      </w:r>
    </w:p>
    <w:p>
      <w:r>
        <w:rPr>
          <w:b/>
        </w:rPr>
        <w:t>E. 3</w:t>
      </w:r>
    </w:p>
    <w:p>
      <w:r>
        <w:t>Le litige porte sur le droit de la recourante à une rente d’invalidité de la part de l’intimé, étant rappelé qu’une telle prestation lui a été niée par décision du 17 septembre 2020, entrée en force, et qu’une nouvelle demande a été enregistrée le 5 janvier 2023.</w:t>
      </w:r>
    </w:p>
    <w:p>
      <w:r>
        <w:rPr>
          <w:b/>
        </w:rPr>
        <w:t>E. 4</w:t>
      </w:r>
    </w:p>
    <w:p>
      <w:r>
        <w:t>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RAI). Cette exigence doit permettre à l'administration qui a précédemment rendu une décision de refus de prestations entrée en force, d'écarter sans plus ample examen de nouvelles demandes dans</w:t>
      </w:r>
    </w:p>
    <w:p>
      <w:r>
        <w:t>A/1957/2023 - 11/21 - lesquelles l'assuré se borne à répéter les mêmes arguments, sans alléguer une modification des faits déterminants (ATF 130 V 68 consid. 5.2.3 ;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 ATF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des prestations, et statuer en conséquence. En cas de recours, le même devoir de contrôle quant au fond incombe au juge (ATF 117 V 198 consid. 3a ; 109 V 114 consid. 2a et b).</w:t>
      </w:r>
    </w:p>
    <w:p>
      <w:r>
        <w:rPr>
          <w:b/>
        </w:rPr>
        <w:t>E. 5</w:t>
      </w:r>
    </w:p>
    <w:p>
      <w:r>
        <w:t>Conformément aux art. 8 al. 1 LPGA et 4 al. 1 LAI, est réputée invalidité, l'incapacité de gain totale ou partielle présumée permanente ou de longue durée, résultant d'une infirmité congénitale, d'une maladie ou d'un accident. En vertu des art. 28 al. 1 et 29 al. 1 LAI, le droit à la rente prend naissance au plus tôt à la date dès laquelle l’assuré a présenté une incapacité de travail d’au moins 40% en moyenne pendant une année sans interruption notable et qu’au terme de cette année, il est invalide à 40% au moins, mais au plus tôt à l’échéance d’une période de six mois à compter de la date à laquelle l’assuré a fait valoir son droit</w:t>
      </w:r>
    </w:p>
    <w:p>
      <w:r>
        <w:t>A/1957/2023 - 12/21 - aux prestations conformément à l’art. 29 al. 1 LPGA. Selon l’art. 29 al. 3 LAI, la rente est versée dès le début du mois au cours duquel le droit prend naissance. L’art. 28a al. 2 LAI précise que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w:t>
      </w:r>
    </w:p>
    <w:p>
      <w:r>
        <w:rPr>
          <w:b/>
        </w:rPr>
        <w:t>E. 5.1</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ATF 130 V 396 consid. 5.3 et 6).</w:t>
      </w:r>
    </w:p>
    <w:p>
      <w:r>
        <w:rPr>
          <w:b/>
        </w:rPr>
        <w:t>E. 5.2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w:t>
      </w:r>
    </w:p>
    <w:p>
      <w:r>
        <w:t>A/1957/2023 - 13/21 -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 du Tribunal fédéral 9C_625/2017 du 26 mars 2018 consid. 6.2 et arrêt du Tribunal fédéral des assurances I 733/06 du 16 juillet 2007).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(arrêt du Tribunal fédéral 9C_191/2021 du 25 novembre 2021 consid. 6.2.2 et les références).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w:t>
      </w:r>
    </w:p>
    <w:p>
      <w:r>
        <w:t>A/1957/2023 - 14/21 -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 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Une personne qui s'occupe du ménage doit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308/04 du 14 janvier 2005 consid. 6.2.1).</w:t>
      </w:r>
    </w:p>
    <w:p>
      <w:r>
        <w:rPr>
          <w:b/>
        </w:rPr>
        <w:t>E. 5.3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w:t>
      </w:r>
    </w:p>
    <w:p>
      <w:r>
        <w:t>A/1957/2023 - 15/21 -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 L'existence effective d'une divergence entre les résultats de l'enquête économique sur le ménage et les constatations d'ordre médical relatives à la capacité d'accomplir les travaux habituels ne peut être constatée de manière définitive que lorsque les deux évaluations ont été effectuées sous l'angle de critères identiques. Cela signifie que les appréciations médicales doivent se référer également aux différentes tâches domestiques et tenir compte de l'aide nécessaire et raisonnablement exigible des membres de la famille à la lumière des circonstances concrètes. Lorsque tel est le cas, si les médecins parviennent à une conclusion divergente, ils doivent encore examiner le rapport d'enquête économique sur le ménage et expliquer pourquoi ils sont parvenus à une autre conclusion (arrêts du Tribunal fédéral 9C_657/2021 du 22 novembre 2022 consid. 5.2 ; 8C_671/2007 du 13 juin 2008 consid. 3.2.2 et les arrêts cités).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A/1957/2023 - 16/21 -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t>A/1957/2023 - 17/21 -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w:t>
      </w:r>
    </w:p>
    <w:p>
      <w:r>
        <w:rPr>
          <w:b/>
        </w:rPr>
        <w:t>E. 8</w:t>
      </w:r>
    </w:p>
    <w:p>
      <w:r>
        <w:t>En l’espèce, l'intimé est entré en matière sur la nouvelle demande de prestations déposée par la recourante au mois de janvier 2023, admettant une aggravation de son état de santé depuis sa décision du 17 septembre 2020. Il a alors procédé à une nouvelle enquête économique sur le ménage le 8 mai 2023, aux termes de laquelle il a conclu que le degré d'invalidité ménagère s’élevait à 7.3%, insuffisant pour ouvrir le droit à une rente.</w:t>
      </w:r>
    </w:p>
    <w:p>
      <w:r>
        <w:rPr>
          <w:b/>
        </w:rPr>
        <w:t>E. 8.1</w:t>
      </w:r>
    </w:p>
    <w:p>
      <w:r>
        <w:t>La chambre de céans observe tout d’abord que la recourante ne conteste pas le statut de personne non active retenu par l’intimé. Ce statut est d’ailleurs justifié dans la mesure où l’intéressée n’a jamais exercé d’activité lucrative, à l’exception d’un mois il y a plus de vingt ans, comme attesté par l’extrait de son compte individuel. Dès lors, seule importe la question du degré d’empêchement de la recourante à accomplir ses tâches habituelles.</w:t>
      </w:r>
    </w:p>
    <w:p>
      <w:r>
        <w:t>A/1957/2023 - 18/21 - Elle rappelle ensuite que les parties s’accordent sur la nécessité de mettre en œuvre une nouvelle enquête économique sur le ménage, le rapport d’enquête du</w:t>
      </w:r>
    </w:p>
    <w:p>
      <w:r>
        <w:rPr>
          <w:b/>
        </w:rPr>
        <w:t>E. 8.2</w:t>
      </w:r>
    </w:p>
    <w:p>
      <w:r>
        <w:t>Il convient donc d’examiner si les rapports précités tiennent compte de l’ensemble des diagnostics posés par les médecins de la recourante, ainsi que des empêchements qui en découlent.</w:t>
      </w:r>
    </w:p>
    <w:p>
      <w:r>
        <w:rPr>
          <w:b/>
        </w:rPr>
        <w:t>E. 8.2.1</w:t>
      </w:r>
    </w:p>
    <w:p>
      <w:r>
        <w:t>Dans son appréciation du 15 août 2023, la Dre L______ a résumé les atteintes à la santé et les empêchements mentionnés dans les rapports du 20 février 2023 de la Dre G______, du 30 mars 2023 du Dr J______ et du 12 avril 2023 de Mme K______. Elle a considéré que l’analyse de ces documents confirmait que la situation médicale de l’intéressée s’était aggravée sur les plans somatique et psychiatrique depuis le rapport du 28 avril 2020, et elle a énuméré la liste des restrictions dont l’enquête sur le ménage devrait tenir compte aux niveaux physique et psychique. Si ce document apparaît, prima facie, complet, la chambre de céans constate cependant quelques lacunes. En effet, le rapport du 30 mars 2023 du Dr J______ n’est pas exhaustif, car les troubles à la colonne dorsale (D10-D11 et D11-D12) et à l’épaule gauche n’y sont pas consignés. Ces atteintes, pourtant mentionnées par le Dr H______ (cf. rapport du 21 mars 2023) et attestées par les documents de radiologie (cf. rapports d’IRM de l’épaule gauche et de la colonne lombaire du 3 mars 2022, rapport d’arthro-IRM de l’épaule gauche du 24 janvier 2023, rapport d’IRM de la colonne cervicale du 27 janvier 2023) n’avaient pas non plus été rapportées par le Dr F______ dans son dernier avis du 27 mars 2023, de sorte que le SMR ne semble les avoir jamais pris en considération. De plus, l’existence du trouble de la personnalité mixte, qui ressort des deux évaluations psychotechniques (cf. rapports du 11 juin 2019 de M. ARDIRI et du 12 avril 2023 de Mme K______) n’a été attestée ni par la Dre G______, ni par le Dr E______ (cf. rapport du 16 décembre 2019). En l’état, ce diagnostic n’a donc pas été posé par un spécialiste en psychiatrie, de sorte qu’il ne peut être tenu pour établi.</w:t>
      </w:r>
    </w:p>
    <w:p>
      <w:r>
        <w:rPr>
          <w:b/>
        </w:rPr>
        <w:t>E. 8.2.2</w:t>
      </w:r>
    </w:p>
    <w:p>
      <w:r>
        <w:t>Dans son évaluation du 18 janvier 2024, la Dre M______ s’est prononcée sur les derniers rapports produits par la recourante dans le cadre de la présente procédure, soit ceux du Dr J______ du 19 octobre 2023 et de la Dre G______ du</w:t>
      </w:r>
    </w:p>
    <w:p>
      <w:r>
        <w:rPr>
          <w:b/>
        </w:rPr>
        <w:t>E. 8.2.3</w:t>
      </w:r>
    </w:p>
    <w:p>
      <w:r>
        <w:t>Cette imprécision ne justifie pas la mise en œuvre d’une expertise judiciaire. En effet, il ressort des différents rapports établis par le SMR que ce dernier a admis sans réserve toutes les atteintes et limitations fonctionnelles énumérées par les médecins traitants, en complétant même les restrictions évoquées par d’autres mesures d’épargne. Il s’est ainsi clairement rallié aux déterminations des différents spécialistes qui suivent la recourante. Toutefois, ceux-ci ne se sont pas déterminés clairement sur les difficultés et les empêchements rencontrés par l’intéressée dans la réalisation des différentes tâches domestiques, compte tenu de ses atteintes à la santé psychique et physique, puisqu’ils se sont limités à signaler des difficultés générales dans la tenue du ménage ou les actes quotidiens. Il est donc indispensable que l’intimé invite les médecins traitants de la recourante à se prononcer sur cette question. À réception de leurs rapports, il appartiendra au SMR de se livrer à une nouvelle synthèse, étant relevé que l’établissement de rapports successifs qui confirment, complètent et parfois invalident des conclusions antérieures complique la compréhension des conclusions. Il appartiendra donc au SMR d’énumérer dans un seul document, de manière complète et détaillées, les atteintes à la santé et leurs éventuelles répercussions sur la réalisation des tâches ménagère, afin que la personne chargée de procéder à la nouvelle enquête économique sur le ménage puisse se déterminer en pleine connaissance de cause concernant les empêchements et handicaps résultant des diagnostics. Enfin, en cas de divergence entre le résultat de l’enquête économique sur le ménage et les constatations d’ordre médical relatives à la capacité d’accomplir les travaux habituels, il appartiendra à l’intimé de solliciter l'avis de la psychiatre traitante quant au rapport d'enquête ainsi qu'à l'aide exigible des membres de la famille, afin que la médecin explique les raisons concrètes de ses éventuelles conclusions différentes. 9. Au vu de ce qui précède, le recours sera partiellement admis, la décision du 11 mai 2023 annulée et le dossier renvoyé à l’intimé pour instruction complémentaire.</w:t>
      </w:r>
    </w:p>
    <w:p>
      <w:r>
        <w:t>A/1957/2023 - 20/21 - 10.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A/1957/2023 - 21/21 - PAR CES MOTIFS, LA CHAMBRE DES ASSURANCES SOCIALES : Statuant À la forme :</w:t>
      </w:r>
    </w:p>
    <w:p>
      <w:r>
        <w:rPr>
          <w:b/>
        </w:rPr>
        <w:t>E. 10</w:t>
      </w:r>
    </w:p>
    <w:p>
      <w:r>
        <w:t>mai 2023 ne pouvant se voir reconnaître une quelconque valeur probante, faute de prendre en considération toutes les atteintes à la santé et limitations fonctionnelles présentées par la recourante. Est donc seule litigieuse la question de savoir si une instruction médicale complémentaire se justifie, ou si l’intimé peut se fonder sur les différents avis du SMR, en particulier ceux des 15 août 2023 et 18 janvier 2024, pour définir le nouveau mandat d’enquête ménagère.</w:t>
      </w:r>
    </w:p>
    <w:p>
      <w:r>
        <w:rPr>
          <w:b/>
        </w:rPr>
        <w:t>E. 13</w:t>
      </w:r>
    </w:p>
    <w:p>
      <w:r>
        <w:t>décembre 2023. Elle a conclu qu’il fallait retenir, au plan somatique, les diagnostics incapacitants de cervicalgies chroniques, de lombalgies chroniques, de</w:t>
      </w:r>
    </w:p>
    <w:p>
      <w:r>
        <w:t>A/1957/2023 - 19/21 - céphalées chroniques mixtes, de scapulalgies gauches, de syndrome du tunnel carpien bilatéral et de gonarthrose. Au niveau psychique, elle a considéré que la Dre G______ n’avait pas amené de nouvel élément médical objectif permettant de modifier la dernière appréciation du SMR du 15 août 2023. Elle a énuméré les limitations fonctionnelles somatiques et psychiatriques. Il appert donc que le SMR a en fin de compte bien pris en considération le conflit sous-acromial gauche et la lésion labrale postérieure, troubles expressément rappelés par le Dr J______ dans son rapport du 19 octobre 2023. Ainsi, seuls les troubles touchant aux niveaux D10-D11 et D11-D12 n’ont pas été précisément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