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ATAS/397/2017 vom 23. Mai 2017</w:t>
      </w:r>
    </w:p>
    <w:p>
      <w:r>
        <w:t>GE Cour de justice, 2017-05-23, FR</w:t>
      </w:r>
    </w:p>
    <w:p>
      <w:r>
        <w:rPr>
          <w:b/>
        </w:rPr>
        <w:t xml:space="preserve">Quelle: </w:t>
      </w:r>
      <w:r>
        <w:t>https://mcp.opencaselaw.ch/entscheid/ge_gerichte_ATAS_397_2017</w:t>
      </w:r>
    </w:p>
    <w:p>
      <w:r>
        <w:t>FR: GE_GERICHTE ATAS/397/2017 du 23 mai 2017</w:t>
      </w:r>
    </w:p>
    <w:p>
      <w:r>
        <w:t>IT: GE_GERICHTE ATAS/397/2017 del 23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25 avril 2017 (8C_643/2016) annulant son arrêt du 23 août 2016 (ATAS/659/2016).</w:t>
      </w:r>
    </w:p>
    <w:p>
      <w:r>
        <w:rPr>
          <w:b/>
        </w:rPr>
        <w:t>E. 2</w:t>
      </w:r>
    </w:p>
    <w:p>
      <w:r>
        <w:t>Dit que l’assuré n’a pas droit à des dépens.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