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ATAS/396/2023 vom 31. Mai 2023</w:t>
      </w:r>
    </w:p>
    <w:p>
      <w:r>
        <w:t>GE Cour de justice, 2023-05-31, FR</w:t>
      </w:r>
    </w:p>
    <w:p>
      <w:r>
        <w:rPr>
          <w:b/>
        </w:rPr>
        <w:t xml:space="preserve">Quelle: </w:t>
      </w:r>
      <w:r>
        <w:t>https://mcp.opencaselaw.ch/entscheid/ge_gerichte_ATAS_396_2023</w:t>
      </w:r>
    </w:p>
    <w:p>
      <w:r>
        <w:t>FR: GE_GERICHTE ATAS/396/2023 du 31 mai 2023</w:t>
      </w:r>
    </w:p>
    <w:p>
      <w:r>
        <w:t>IT: GE_GERICHTE ATAS/396/2023 del 31 maggio 2023</w:t>
      </w:r>
    </w:p>
    <w:p>
      <w:pPr>
        <w:pStyle w:val="Heading2"/>
      </w:pPr>
      <w:r>
        <w:t>Erwägungen</w:t>
      </w:r>
    </w:p>
    <w:p>
      <w:r>
        <w:rPr>
          <w:b/>
        </w:rPr>
        <w:t>E. 1</w:t>
      </w:r>
    </w:p>
    <w:p>
      <w:r>
        <w:t>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w:t>
      </w:r>
    </w:p>
    <w:p>
      <w:r>
        <w:rPr>
          <w:b/>
        </w:rPr>
        <w:t>E. 3</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 sont supportés en premier lieu par la partie qui a provoqué la procédure devenue</w:t>
      </w:r>
    </w:p>
    <w:p>
      <w:r>
        <w:t>A/1115/2023 - 6/14 -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 Au vu de la décision rendue le 4 avril 2023 par l’intimée, le recours pour déni de justice est devenu sans objet, de sorte qu'il convient de rayer la cause du rôle. Le litige porte ainsi uniquement sur le droit du recourant, représenté par un mandataire, à des dépens pour la procédure qu'il a initiée.</w:t>
      </w:r>
    </w:p>
    <w:p>
      <w:r>
        <w:rPr>
          <w:b/>
        </w:rPr>
        <w:t>E. 4.1.1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est une forme particulière du déni de justice formel (ATF 119 Ia 237 consid. 2).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ATF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exemple; arrêt du Tribunal fédéral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w:t>
      </w:r>
    </w:p>
    <w:p>
      <w:r>
        <w:t>A/1115/2023 - 7/14 - l’autorité n’ait pas agi ou qu’elle ait agi avec retard (ATF 124 V 133; ATF 117 Ia 117 consid. 3a et 197 consid. 1c; arrêts du Tribunal fédéral des assurances I 819/02 du 23 avril 2003 consid. 2.1 et C 53/01 du 30 avril 2001 consid. 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4.1.2</w:t>
      </w:r>
    </w:p>
    <w:p>
      <w:r>
        <w:t>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aucune décision formelle n’avait été rendue neuf mois après la demande en ce sens de l’assuré, faute de mesures d’instruction durant six mois (ATAS/711/2015 du 23 septembre 2015) ; - l’OAI avait attendu quatorze mois depuis l’opposition de l’assuré au projet pour mettre en œuvre une expertise multidisciplinaire à laquelle l’assuré avait conclu d’emblée (ATAS/484/2007 du 9 mai 2007) ; - aucune décision n’avait été rendue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(ATAS/788/2018 du 10 septembre 2018) ; - l’OAI avait ordonné un complément d’expertise dix-sept mois après avoir obtenu les renseignements des médecins traitants (ATAS/860/2006 du 2 octobre 2006) ;</w:t>
      </w:r>
    </w:p>
    <w:p>
      <w:r>
        <w:t>A/1115/2023 - 8/14 - - une nouvelle décision avait été rendue dix-huit mois après que la cause ait été renvoyée à l’office à la suite de l’admission partielle du recours (ATAS/62/2007 du 24 janvier 2007) ;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(ATAS/223/2018 du 8 mars 2018) ; - un recourant qui était sans nouvelle de l’OAI vingt et un mois après le dépôt d’une demande de révision (ATAS/860/2006 du 2 octobre 2006).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 ;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(ATAS/1502/2012 du 19 décembre 2012) ; - l’assurance-accidents n’avait pas versé de prestations à la suite d’une rechute annoncée quinze mois auparavant étant donné que les parties avaient échangé des courriers pendant treize mois dans le but d’aboutir à une solution transactionnelle (ATAS/264/2014 du 5 mars 2014). 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 ;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capacité</w:t>
      </w:r>
    </w:p>
    <w:p>
      <w:r>
        <w:t>A/1115/2023 - 9/14 -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w:t>
      </w:r>
    </w:p>
    <w:p>
      <w:r>
        <w:rPr>
          <w:b/>
        </w:rPr>
        <w:t>E. 4.2.1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entraine la mort (art. 4 LPGA ; ATF 129 V 402 consid. 2.1, ATF 122 V 230 consid. 1 et les références).</w:t>
      </w:r>
    </w:p>
    <w:p>
      <w:r>
        <w:rPr>
          <w:b/>
        </w:rPr>
        <w:t>E. 4.2.2</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Cependant,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Autrement dit, l'assureur- 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w:t>
      </w:r>
    </w:p>
    <w:p>
      <w:r>
        <w:rPr>
          <w:b/>
        </w:rPr>
        <w:t>E. 4.2.3</w:t>
      </w:r>
    </w:p>
    <w:p>
      <w:r>
        <w:t>Selon l'art. 21 al. 1 LAA, lorsque la rente a été fixée, les prestations pour soins et remboursement de frais (art. 10 à 13 LAA) sont accordées à son</w:t>
      </w:r>
    </w:p>
    <w:p>
      <w:r>
        <w:t>A/1115/2023 - 11/14 -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entrainer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(RAMA 2005 n° U 557 p. 388, U 244/04 consid. 3.1 ; arrêt du Tribunal fédéral 8C_179/2014 du 16 mars 2015 consid. 4.1).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w:t>
      </w:r>
    </w:p>
    <w:p>
      <w:r>
        <w:rPr>
          <w:b/>
        </w:rPr>
        <w:t>E. 4.2.4</w:t>
      </w:r>
    </w:p>
    <w:p>
      <w:r>
        <w:t>Le Tribunal fédéral a jugé qu’il devait être admis qu'en rendant une décision formelle de refus du droit à la rente et d'octroi d'une IPAI, la SUVA avait, par voie de conséquence, également refusé formellement le versement de l'indemnité journalière et la prise en charge du traitement médical. La question de la suspension des indemnités journalières et du traitement médical d'une part, et de l'examen des conditions du droit à la rente d'autre part, formaient en effet un seul objet du litige (cf. ATF 144 V 354 consid. 4. 2 p. 358). La SUVA aurait certes pu rendre une décision formelle relative à la suppression des indemnités journalières et à la prise en charge du traitement médical après avoir constaté le désaccord de l'assurée avec le contenu de sa lettre (art. 49 LPGA). Toutefois, comme elle le</w:t>
      </w:r>
    </w:p>
    <w:p>
      <w:r>
        <w:t>A/1115/2023 - 12/14 - faisait valoir, la situation juridique de cette dernière ne s'était pas trouvée affectée du fait qu'elle s'était prononcée par une décision formelle de refus de rente. L'assurée pouvait en effet faire valoir son droit aux indemnités journalières et à la prise en charge du traitement médical en formant opposition à la décision formelle précitée (arrêt du Tribunal fédéral 8C_619/2018 du 7 mars 2019). Aux termes de l'art. 51 al. 1 LPGA, les prestations, créances ou injonctions qui ne sont pas visées à l'art. 49 al. 1 peuvent être traitées selon une procédure simplifiée (ATF 8C_340/2018 ; 124 OLAA a contrario; SVR 2009 UV n° 21 p. 78 consid. 3.2 [arrêt 8C_ 99/2008 du 26 novembre 2008]). La prise de position de l'assureur selon cette procédure informelle n'est pas susceptible d'opposition ou de recours. Les droits de l'assuré sont garantis par la possibilité d'exiger qu'une décision formelle soit rendue (art. 51 al. 2 LPGA) (cf. VALÉRIE DÉFAGO GAUDIN, in Commentaire romand, Loi sur la partie générale des assurances sociales, [Dupont/Moser-Szeless éd.], 2018, n. 9 ad. art. 51 LPGA).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p. 150 s.; 129 V 110 consid. 1.2.2 p. 111). En présence d'une telle réaction de l'assuré, l'assureur a l'obligation de statuer par une décision formelle selon l'art. 49 (cf. art. 51 al. 2 LPGA). Si ce dernier ne rend pas de décision, le recours pour déni de justice est ouvert (art. 56 al. 2 LPGA). En matière d'indemnités journalières, la jurisprudence du Tribunal fédéral a fixé le délai d'examen et de réflexion convenable à trois mois ou nonante jours à compter de la communication d'un décompte d'indemnité journalière (SVR 2007 AlV n° 24 p. 75, consid. 3.2 [arrêt C 119/06 du 24 avril 2007]; arrêt 8C_14/2011 du 13 avril 2011, consid. 5). 5. En l’occurrence, selon la jurisprudence claire du Tribunal fédéral (arrêt du Tribunal fédéral 8C_619/2018 du 7 mars 2019), l’intimée n’avait pas l’obligation de se prononcer par la voie d’une décision formelle suite à l’opposition du recourant à sa communication du 26 septembre 2022, annonçant la fin du versement des indemnités journalières. Elle pouvait se prononcer à ce sujet dans une décision formelle ultérieure portant sur le droit à une rente d’invalidité et à l’indemnité pour atteinte à l’intégrité (IPAI). Contrairement à ce qu’allègue le recourant, il n’y a pas lieu d’appliquer par analogie le délai d’examen et de réflexion de trois mois à compter de la communication d’un décompte d’indemnités journalières, accordé à l’assuré, à l’assurance-accidents pour rendre une décision formelle sur cette question. Le recourant ne se fonde à cet égard sur aucune jurisprudence ou avis de doctrine qui remettrait en cause la jurisprudence du Tribunal fédéral.</w:t>
      </w:r>
    </w:p>
    <w:p>
      <w:r>
        <w:t>A/1115/2023 - 13/14 - Il résulte des pièces de la procédure que l’intimée a instruit les questions du droit du recourant à une rente d’invalidité et à une indemnité pour perte d’intégrité dans un délai correct, qui ne correspond pas aux délais dans lesquels la jurisprudence a retenu un déni de justice. L’intimée n’ayant pas fait preuve d’un retard injustifié, le recourant n’a pas droit à des dépens.</w:t>
      </w:r>
    </w:p>
    <w:p>
      <w:r>
        <w:rPr>
          <w:b/>
        </w:rPr>
        <w:t>E. 6</w:t>
      </w:r>
    </w:p>
    <w:p>
      <w:r>
        <w:t>Au vu de ce qui précède, le recours sera rejeté. La procédure est gratuite.</w:t>
      </w:r>
    </w:p>
    <w:p>
      <w:r>
        <w:t>A/1115/2023 - 14/14 -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