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ATAS/396/2022 vom 3. Mai 2022</w:t>
      </w:r>
    </w:p>
    <w:p>
      <w:r>
        <w:t>GE Cour de justice, 2022-05-03, FR</w:t>
      </w:r>
    </w:p>
    <w:p>
      <w:r>
        <w:rPr>
          <w:b/>
        </w:rPr>
        <w:t xml:space="preserve">Quelle: </w:t>
      </w:r>
      <w:r>
        <w:t>https://mcp.opencaselaw.ch/entscheid/ge_gerichte_ATAS_396_2022</w:t>
      </w:r>
    </w:p>
    <w:p>
      <w:r>
        <w:t>FR: GE_GERICHTE ATAS/396/2022 du 3 mai 2022</w:t>
      </w:r>
    </w:p>
    <w:p>
      <w:r>
        <w:t>IT: GE_GERICHTE ATAS/396/2022 del 3 maggio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À teneur de l'art. 1 al. 1 LAVS, les dispositions de la LPGA s'appliquent aux art. 1 à 97 LAVS, à moins que la loi n'y déroge expressément. Le recours a été interjeté en temps utile (art. 38 al. 4 let. a et 60 LPGA) et satisfait aux exigences de forme et de contenu prescrites par la loi (art. 61 let. b LPGA ; cf. aussi art. 89B de la loi sur la procédure administrative, du 12 septembre 1985 - LPA - E 5 10).</w:t>
      </w:r>
    </w:p>
    <w:p>
      <w:r>
        <w:t>A/2163/2020 - 10/17 -</w:t>
      </w:r>
    </w:p>
    <w:p>
      <w:r>
        <w:rPr>
          <w:b/>
        </w:rPr>
        <w:t>E. 1.3</w:t>
      </w:r>
    </w:p>
    <w:p>
      <w:r>
        <w:t>Touchée par la décision attaquée et ayant un intérêt digne de protection à son annulation ou sa modification, la recourante a qualité pour recourir (art. 59 LPGA). Le recours sera donc déclaré recevable.</w:t>
      </w:r>
    </w:p>
    <w:p>
      <w:r>
        <w:rPr>
          <w:b/>
        </w:rPr>
        <w:t>E. 2</w:t>
      </w:r>
    </w:p>
    <w:p>
      <w:r>
        <w:t>Mme C______ et Mme B______ ont qualité d’appelées en cause. À ce titre, elles ont pu exercer les droits conférés aux parties et l’arrêt que rend la chambre de céans leur est opposable (art. 71 LPA ; Stéphane GRODECKI / Romain JORDAN, Code annoté de procédure administrative genevoise, 2017, n. 903 ss).</w:t>
      </w:r>
    </w:p>
    <w:p>
      <w:r>
        <w:rPr>
          <w:b/>
        </w:rPr>
        <w:t>E. 3</w:t>
      </w:r>
    </w:p>
    <w:p>
      <w:r>
        <w:t>Le litige porte sur la question de savoir si la recourante est tenue de payer des cotisations sociales sur les rémunérations qu'elle a versées à ses deux apporteuses d’affaires entre le 5 janvier 2015 et le 31 décembre 2018. Pour résoudre le litige, il faut examiner si ces rémunérations sont dues pour une activité exercée à titre salarié ou indépendant.</w:t>
      </w:r>
    </w:p>
    <w:p>
      <w:r>
        <w:rPr>
          <w:b/>
        </w:rPr>
        <w:t>E. 4.1</w:t>
      </w:r>
    </w:p>
    <w:p>
      <w:r>
        <w:t>Selon l’art. 3 al. 1, 1ère phrase, LAVS, les assurés sont tenus de payer des cotisations tant qu’ils exercent une activité lucrative. Les cotisations des assurés qui exercent une activité lucrative sont calculées en pour-cent du revenu provenant de l’activité lucrative dépendante et indépendante (art. 4 al. 1 LAVS).</w:t>
      </w:r>
    </w:p>
    <w:p>
      <w:r>
        <w:rPr>
          <w:b/>
        </w:rPr>
        <w:t>E. 4.2</w:t>
      </w:r>
    </w:p>
    <w:p>
      <w:r>
        <w:t>Le revenu provenant d’une activité dépendante, appelé salaire déterminant, comprend toute rétribution pour un travail dépendant effectué dans un temps déterminé ou indéterminé (art. 5 al. 2 LAVS ; art. 7 ss RAVS). Le revenu provenant d’une activité indépendante comprend tout revenu du travail autre que la rémunération pour un travail accompli dans une situation dépendante (art. 9 al. 1 LAVS ; art. 17 ss RAVS ; cf. aussi art. 12 al. 1 LPGA). La distinction entre activité dépendante et indépendante revêt de l’importance, notamment parce que l’assuré doit verser lui-même la totalité de sa cotisation s’il est indépendant, tandis que s’il est salarié son employeur doit en payer la moitié, et que les cotisations dues sur le revenu provenant d’une activité lucrative indépendante ne peuvent être prélevées à la source, contrairement à celles perçues sur le salaire déterminant (Michel VALTERIO, Droit de l’assurance-vieillesse et survivants [AVS] et de l’assurance-invalidité [AI], Commentaire thématique, 2011, n. 214). Selon l’art. 12 al. 2 LPGA, une personne exerçant une activité lucrative indépendante peut simultanément avoir la qualité de salariée si elle reçoit un salaire correspondant. Ainsi, en cas d’exercice simultané de plusieurs activités lucratives, il faut examiner pour chacune d’elles si le revenu en découlant est celui d’une activité indépendante ou salariée ; il n’y a pas lieu de les qualifier globalement (arrêt du Tribunal fédéral 9C_219/2009 du 21 août 2009 consid. 4.4 ; Michel VALTERIO, op. cit., n. 215 et 297).</w:t>
      </w:r>
    </w:p>
    <w:p>
      <w:r>
        <w:t>A/2163/2020 - 11/17 -</w:t>
      </w:r>
    </w:p>
    <w:p>
      <w:r>
        <w:rPr>
          <w:b/>
        </w:rPr>
        <w:t>E. 4.3</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et les références).</w:t>
      </w:r>
    </w:p>
    <w:p>
      <w:r>
        <w:rPr>
          <w:b/>
        </w:rPr>
        <w:t>E. 4.4</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des assurances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w:t>
      </w:r>
    </w:p>
    <w:p>
      <w:r>
        <w:rPr>
          <w:b/>
        </w:rPr>
        <w:t>E. 4.5</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w:t>
      </w:r>
    </w:p>
    <w:p>
      <w:r>
        <w:t>A/2163/2020 - 12/17 - 25 septembre 2012 consid. 2.2, 9C_1062/2010 du 5 juillet 2011 consid. 7.3 et les références ; voir aussi ATF 119 V 161 consid. 3b).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w:t>
      </w:r>
    </w:p>
    <w:p>
      <w:r>
        <w:rPr>
          <w:b/>
        </w:rPr>
        <w:t>E. 4.6</w:t>
      </w:r>
    </w:p>
    <w:p>
      <w:r>
        <w:t>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ATF 119 V 161 consid. 3c ; ATF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(cf. arrêt du Tribunal fédéral 9C_219/2009 du 21 août 2009 consid. 4.4).</w:t>
      </w:r>
    </w:p>
    <w:p>
      <w:r>
        <w:rPr>
          <w:b/>
        </w:rPr>
        <w:t>E. 4.7</w:t>
      </w:r>
    </w:p>
    <w:p>
      <w:r>
        <w:t>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w:t>
      </w:r>
    </w:p>
    <w:p>
      <w:r>
        <w:rPr>
          <w:b/>
        </w:rPr>
        <w:t>E. 4.8</w:t>
      </w:r>
    </w:p>
    <w:p>
      <w:r>
        <w:t>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t>A/2163/2020 - 13/17 -</w:t>
      </w:r>
    </w:p>
    <w:p>
      <w:r>
        <w:rPr>
          <w:b/>
        </w:rPr>
        <w:t>E. 4.9</w:t>
      </w:r>
    </w:p>
    <w:p>
      <w:r>
        <w:t>L’agent qui ne touche que des commissions est censé exercer une activité salariée même s’il supporte ses frais et travaille à son domicile sans disposer de locaux spécialement aménagés pour son activité (Michel VALTERIO, op. cit., n. 234). C’est dans ce sens que vont les directives sur le salaire déterminant dans l’AVS, AI et APG (DSD), s’agissant en particulier des voyageurs et représentants de commerce et personnes exerçant une profession analogue (cf. ch. 4019 ss), soit les personnes physiques qui, contre rémunération, concluent ou négocient la conclusion d’affaires au nom et pour le compte d’un tiers en dehors des locaux commerciaux de ce tiers (ch. 4020 DSD). Ces personnes sont en règle générale considérées comme des salariées, car elles sont généralement dans un rapport de subordination et de dépendance envers la maison qu’elles représentent et ne supportent pas un risque économique d’entrepreneur (ch. 4021 DSD). Leur activité lucrative doit être qualifiée de dépendante notamment même lorsqu’elles ne touchent pas de fixe mais seulement des provisions, supportent elles-mêmes les frais généraux, ne sont pas tenues de remettre à leur employeur un rapport sur leurs activités, ne doivent pas observer un horaire de travail déterminé, travaillent simultanément pour plusieurs maisons, exercent leur activité seulement à titre accessoire, sont affiliées comme travailleurs indépendants à une caisse de compensation pour une autre activité lucrative, sont inscrites au registre du commerce sous une raison individuelle, sont désignées comme agentes notamment au sens des art. 418a ss de la loi fédérale du 30 mars 1911 complétant le Code civil suisse (CO - RS 220), agissent comme représentantes indirectes (ch. 4023 DSD). Un statut d’indépendant ne leur est exceptionnellement reconnu que lorsqu’elles supportent un véritable risque économique d’entrepreneurs, c’est- à-dire lorsqu’elles disposent d’une propre organisation de vente, ce qui suppose qu’elles utilisent leurs propres locaux commerciaux, occupent du personnel et supportent elles-mêmes la majeure partie des frais généraux (ch. 4026 DSD).</w:t>
      </w:r>
    </w:p>
    <w:p>
      <w:r>
        <w:rPr>
          <w:b/>
        </w:rPr>
        <w:t>E. 4.10</w:t>
      </w:r>
    </w:p>
    <w:p>
      <w:r>
        <w:t>La maxime inquisitoire s’applique,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 Bettina KAHIL WOLFF / Stéphanie PERRENOUD, 2015, n. 27 ss ; Ueli KIESER, ATSG- Kommentar, 3ème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 conçue de façon étendue s’agissant de l’allégation soit que l’employeur a effectivement retenu les cotisations AVS sur les revenus versés,</w:t>
      </w:r>
    </w:p>
    <w:p>
      <w:r>
        <w:t>A/2163/2020 - 14/17 - soit que le salarié et l’employeur ont conclu une convention de salaire net (Michel VALTERIO, op. cit., n. 766).</w:t>
      </w:r>
    </w:p>
    <w:p>
      <w:r>
        <w:rPr>
          <w:b/>
        </w:rPr>
        <w:t>E. 4.11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Il n’existe pas, en droit des assurances sociales, un principe selon lequel l’administration ou le juge devrait statuer, dans le doute, en faveur de l’assuré (ATF 126 V 322 consid. 5a).</w:t>
      </w:r>
    </w:p>
    <w:p>
      <w:r>
        <w:rPr>
          <w:b/>
        </w:rPr>
        <w:t>E. 5</w:t>
      </w:r>
    </w:p>
    <w:p>
      <w:r>
        <w:t>La décision attaquée qualifie les activités fournies par les apporteuses d’affaires à la recourante d’activités dépendantes et comporte une reprise de cotisations sociales d’un montant de CHF 87'025.20 et des intérêts moratoires d’un montant de CHF 8'266.20. Des contrats liant la recourante aux apporteuses d’affaires, il résulte que les apporteuses d’affaires apportaient des clients de leurs carnets d’adresse respectifs contre commission, à l’instar de courtiers. Les contrats en cause mentionnaient que leur objet était la relation de courtage entre la recourante et les apporteuses d’affaires. La recourante a exposé, notamment lors de son audition le 8 mars 2022, que malgré les termes des contrats, chacune des apporteuses d’affaires ne l’avait en réalité mise en contact qu’avec l’un de leur proche qui avait accepté de lui donner mandat de gérer ses affaires. Les apporteuses d’affaires avaient ensuite eu droit, chaque trimestre, à un pourcentage des résultats de la gestion et des honoraires revenant ainsi à la recourante. Les contrats mentionnaient certes que les apporteuses d’affaires étaient tenues de maintenir une relation permanente et régulière avec les clients présentés à la société, sans cependant prescrire des tâches en lien avec ces clients. La recourante et les apporteuses ont cependant contesté que les apporteuses d’affaires se soient réellement chargées de la gestion des affaires des clients amenés ; elles avaient uniquement mis en contact ces derniers avec la société en vue que cette dernière gère leurs affaires. Les indications fournies par Mme C______ par écrit au sujet d’un business plan notamment ne peuvent pas être mises en lien avec des activités prévues par le contrat d’apporteuse d’affaires, et la recourante a nié qu’une telle activité ait été faite pour elle. Il est ainsi contesté et en tout état pas établi que Mme B______ et C______ se soient chargées de la gestion ou d’autres tâches</w:t>
      </w:r>
    </w:p>
    <w:p>
      <w:r>
        <w:t>A/2163/2020 - 15/17 - donnant lieu à une rémunération au sein de la société, le contrat prévoyant à cet égard que la gestion était du seul ressort de la société recourante. Les relations entre la recourante et les apporteuses d’affaires ne s’apparentent pas à celles entre un employeur et un voyageur de commerce, mais davantage à une relation de courtage dans le cadre duquel les apporteuses doivent être considérées comme indépendantes. Comme l’a résumé le Tribunal fédéral des assurances dans un arrêt H 6/05, H 23/05 du 19 mai 2006, le courtage est en règle générale considéré comme une activité indépendante (RCC 1988 p. 315 s. consid. 3c). Comme tout mandataire, le courtier est tenu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alors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1966, ch. m. 159 ad art. 5 LAVS). Les apporteuses d’affaires étaient en outre externes à la société, non soumises à une clause de prohibition de concurrence, mais au contraire libres d’accepter d’autres mandats et de travailler pour d’autres clients, ce que Mme C______ faisait en ayant une activité indépendante à Neuchâtel. Il n’est d’ailleurs pas établi que les apporteuses d’affaires tiraient l’essentiel de leurs revenus des commissions perçues de la recourante quand bien même leurs commissions étaient élevées. La recourante ne mettait ni locaux, ni matériel, ni secrétariat à la disposition des apporteuses d’affaires. Les apporteuses d’affaires assumaient seules leurs charges et n’avaient pas de pouvoir de représenter ou d’engager la société. Elles agissaient en leur propre nom et pour leur propre compte. Elles n’avaient pas de temps de travail requis et recevaient des commissions en fonction des portefeuilles des clients apportés, mais non des activités déployées par elles. Comme retenu ci- dessus, leur collaboration peut être considérée comme une prestation unique, dans la mesure où elles ont mis une fois en contact une de leur connaissance avec la recourante et ont ensuite bénéficié de commissions en fonction des résultats de la gestion des fonds par la recourante. Les apporteuses d’affaires n’avaient pour le</w:t>
      </w:r>
    </w:p>
    <w:p>
      <w:r>
        <w:t>A/2163/2020 - 16/17 - surplus pas besoin de disposer de leur propre structure commerciale compte tenu de leur activité limitée. Quant à l’indépendance économique, il n’était pas garanti de revenu aux apporteuses d’affaires dans le cas où elles ne présentaient pas de client, puisqu’elles ne percevaient de commission que si le client apporté contractait avec la société recourante, ensuite de quoi des commissions leur étaient versées tant que durait le contrat entre le client et la société. Une fois le client engagé, elles pouvaient percevoir des commissions versées automatiquement chaque trimestre sans déployer d’activité en leur faveur, ce qui s’éloigne d’une relation entre un employeur et un salarié. Tous ces éléments parlent en faveur d’une activité indépendante. Les appelées en cause ne se trouvaient pas dans un rapport de subordination et assumaient le risque économique d’entrepreneur. Le critère de la collaboration régulière n’est pas davantage donné dès lors notamment que les appelées en cause n’avaient aucune garantie quant à l’éventuelle signature des contrats entre le client apporté à la société et cette dernière. Leurs rôles se limitaient à mettre en contact une personne de leur carnet d’adresses avec la société, ce qu’elles n’ont fait qu’une fois. Enfin, le fait que les autorités neuchâteloises, après un échange de vue avec les autorités genevoises, aient refusé de prendre en compte le caractère indépendant de l’activité de Mme C______, ne lie pas la chambre de céans laquelle est tenue de se prononcer sur une décision visant une reprise de cotisations sociales faite par une caisse de compensation genevoise en lien avec la société recourante sise à Genève. La chambre de céans retient en conclusion que les commissions versées par la recourante aux appelées en cause ne représentent pas un revenu d’une activité dépendante, les caractéristiques d’une activité indépendante étant prédominantes en l’espèce.</w:t>
      </w:r>
    </w:p>
    <w:p>
      <w:r>
        <w:rPr>
          <w:b/>
        </w:rPr>
        <w:t>E. 6</w:t>
      </w:r>
    </w:p>
    <w:p>
      <w:r>
        <w:t>Par appréciation anticipée des preuves, force est de constater que l’audition des appelées, qui ont fait valoir par écrit leurs arguments allant dans le même sens que la recourante et n’ont pas contesté le procès-verbal de l’audience du 8 mars 2022, ne saurait conduire à une autre décision.</w:t>
      </w:r>
    </w:p>
    <w:p>
      <w:r>
        <w:rPr>
          <w:b/>
        </w:rPr>
        <w:t>E. 7</w:t>
      </w:r>
    </w:p>
    <w:p>
      <w:r>
        <w:t>Le recours sera donc admis et la décision attaquée annulée. Il n’y a pas lieu à une reprise de cotisations sur les commissions versées aux appelées en cause dont le statut est celui d’indépendant.</w:t>
      </w:r>
    </w:p>
    <w:p>
      <w:r>
        <w:rPr>
          <w:b/>
        </w:rPr>
        <w:t>E. 8</w:t>
      </w:r>
    </w:p>
    <w:p>
      <w:r>
        <w:t>La procédure est gratuite.</w:t>
      </w:r>
    </w:p>
    <w:p>
      <w:r>
        <w:rPr>
          <w:b/>
        </w:rPr>
        <w:t>E. 9</w:t>
      </w:r>
    </w:p>
    <w:p>
      <w:r>
        <w:t>La recourante qui est assistée d’un conseil se verra allouer des dépens d’un montant de CHF 1’000.- à charge de l’intimée. Les appelées en cause ayant agi sans l’aide d’un conseil ne se verront pas allouer d’indemnité de procédure (art. 61 let. g a.c. LPGA).</w:t>
      </w:r>
    </w:p>
    <w:p>
      <w:r>
        <w:t>A/2163/2020 - 17/17 -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