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ATAS/396/2021 vom 29. April 2021</w:t>
      </w:r>
    </w:p>
    <w:p>
      <w:r>
        <w:t>GE Cour de justice, 2021-04-29, FR</w:t>
      </w:r>
    </w:p>
    <w:p>
      <w:r>
        <w:rPr>
          <w:b/>
        </w:rPr>
        <w:t xml:space="preserve">Quelle: </w:t>
      </w:r>
      <w:r>
        <w:t>https://mcp.opencaselaw.ch/entscheid/ge_gerichte_ATAS_396_2021</w:t>
      </w:r>
    </w:p>
    <w:p>
      <w:r>
        <w:t>FR: GE_GERICHTE ATAS/396/2021 du 29 avril 2021</w:t>
      </w:r>
    </w:p>
    <w:p>
      <w:r>
        <w:t>IT: GE_GERICHTE ATAS/396/2021 del 29 aprile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rPr>
          <w:b/>
        </w:rPr>
        <w:t>E. 3</w:t>
      </w:r>
    </w:p>
    <w:p>
      <w:r>
        <w:t>L'art. 53 al. 3 LPGA prévoit que, jusqu'à l'envoi de son préavis à l'autorité de recours, l'assureur peut reconsidérer une décision ou une décision sur opposition contre laquelle un recours a été formé. Par ailleurs, en vertu de l’art. 67 LPA, le recours devant le Tribunal cantonal des assurances sociales a un effet dévolutif (al. 1) et l’administration peut, en cours de procédure, reconsidérer ou retirer sa décision pour autant qu’elle notifie, sans délai, sa nouvelle décision aux parties et</w:t>
      </w:r>
    </w:p>
    <w:p>
      <w:r>
        <w:t>A/721/2021 - 5/7 - en donne connaissance à l'autorité de recours (al. 2). Toutefois, l'autorité de recours continue à traiter le recours dans la mesure où la nouvelle décision ne l'a pas rendu sans objet (al. 3). L’art. 53 al. 3 LPGA règle ainsi le cas particulier de la reconsidération pendente lite d'une décision ou d'une décision sur opposition contre laquelle un recours a été formé (ATF 136 V 2 consid. 2.5; arrêt du Tribunal fédéral 8C_18/2009 du 31 juillet 2009 consid. 3 et les références). A contrario, si l'assureur a déjà envoyé sa réponse, il ne peut plus reconsidérer sa décision. Une décision pendente lite rendue postérieurement à l'échéance du délai de réponse est donc nulle et n'a valeur que d'une simple proposition au juge (cf. arrêt du Tribunal fédéral 8C_1/2011 du</w:t>
      </w:r>
    </w:p>
    <w:p>
      <w:r>
        <w:rPr>
          <w:b/>
        </w:rPr>
        <w:t>E. 5</w:t>
      </w:r>
    </w:p>
    <w:p>
      <w:r>
        <w:t>L’art. 17b « Préavis, durée et octroi rétroactif de la réduction de l’horaire de travail » de la loi fédérale sur les bases légales des ordonnances du Conseil fédéral visant à surmonter l’épidémie de COVID-19 (ci-après : loi COVID-19) est entré en vigueur le 1er avril 2021 (introduit par le ch. I de la LF du 19 mars 2021</w:t>
      </w:r>
    </w:p>
    <w:p>
      <w:r>
        <w:t>A/721/2021 - 6/7 - [Cas de rigueur, assurance-chômage, accueil extra-familial pour enfants, acteurs culturels, manifestations], en vigueur du 20 mars au 31 déc. 2021, sous réserve de l’al. 1, en vigueur du 1er sept. 2020 au 31 déc. 2021 RO 2021 153; FF 2021 285). Selon l’al. 1 de l’art. 17b Loi COVID-19,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L’al. 2 stipule que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L’al. 3 précise qu’en dérogation à l’art. 38, al. 1, LACI, l’entreprise doit faire valoir le nouveau droit aux indemnités découlant des al. 1 et 2 le 30 avril 2021 au plus tard, auprès de la caisse de chômage compétente.</w:t>
      </w:r>
    </w:p>
    <w:p>
      <w:r>
        <w:rPr>
          <w:b/>
        </w:rPr>
        <w:t>E. 6</w:t>
      </w:r>
    </w:p>
    <w:p>
      <w:r>
        <w:t>En l’espèce, l’intimé a fondé sa décision du 18 janvier 2021 sur les dispositions en vigueur au moment de la prise de décision, soit l’art. 36 al. 1 LACI instituant un délai de préavis de 10 jours. Toutefois, l’entrée en vigueur, en date du 1er avril 2021, de l’art. 17b loi COVID-19 a introduit un système dérogatoire à l’art. 36 al. 1, LACI, supprimant l’exigence du délai de préavis, avec effet rétroactif, pour autant que la demande soit déposée par l’employeur auprès de l’autorité cantonale jusqu’au 30 avril 2021 au plus tard. Les conditions d’octroi étant réunies, l’OCE a rendu une nouvelle décision le</w:t>
      </w:r>
    </w:p>
    <w:p>
      <w:r>
        <w:rPr>
          <w:b/>
        </w:rPr>
        <w:t>E. 7</w:t>
      </w:r>
    </w:p>
    <w:p>
      <w:r>
        <w:t>avril 2021, se fondant sur les nouvelles dispositions entrées en vigueur le 1er avril 2021, avec effet rétroactif. Ladite décision correspond aux conclusions de la recourante et règle toutes les questions à satisfaction de cette dernière. Au vu de ce qui précède et des pièces du dossier, il se justifie de déclarer le présent recours sans objet.</w:t>
      </w:r>
    </w:p>
    <w:p>
      <w:r>
        <w:t>A/721/2021 - 7/7 -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