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ATAS/396/2018 vom 9. Mai 2018</w:t>
      </w:r>
    </w:p>
    <w:p>
      <w:r>
        <w:t>GE Cour de justice, 2018-05-09, FR</w:t>
      </w:r>
    </w:p>
    <w:p>
      <w:r>
        <w:rPr>
          <w:b/>
        </w:rPr>
        <w:t xml:space="preserve">Quelle: </w:t>
      </w:r>
      <w:r>
        <w:t>https://mcp.opencaselaw.ch/entscheid/ge_gerichte_ATAS_396_2018</w:t>
      </w:r>
    </w:p>
    <w:p>
      <w:r>
        <w:t>FR: GE_GERICHTE ATAS/396/2018 du 9 mai 2018</w:t>
      </w:r>
    </w:p>
    <w:p>
      <w:r>
        <w:t>IT: GE_GERICHTE ATAS/396/2018 del 9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A/3560/2017 - 20/32 -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29ter du règlement du 17 janvier 1961 sur l’assurance-invalidité du 17 janvier 1961 (RAI - RS 831.201), il y a interruption notable de l'incapacité de travail au sens de l'art. 28, al. 1, let. b, LAI lorsque l'assuré a été entièrement apte au travail pendant 30 jours consécutifs au moins.</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w:t>
      </w:r>
    </w:p>
    <w:p>
      <w:r>
        <w:t>A/3560/2017 - 21/32 -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w:t>
      </w:r>
    </w:p>
    <w:p>
      <w:r>
        <w:t>A/3560/2017 - 22/32 -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w:t>
      </w:r>
    </w:p>
    <w:p>
      <w:r>
        <w:t>A/3560/2017 - 23/32 -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w:t>
      </w:r>
    </w:p>
    <w:p>
      <w:r>
        <w:t>A/3560/2017 - 24/32 -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w:t>
      </w:r>
    </w:p>
    <w:p>
      <w:r>
        <w:t>A/3560/2017 - 25/32 -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t>A/3560/2017 - 26/32 -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A/3560/2017 - 27/32 -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A/3560/2017 - 28/32 -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l’intimé considère que la recourante présente une capacité de travail pleine et entière dans toute activité, de sorte qu’elle n’a droit à aucune prestation de l’assurance-invalidité. Pour parvenir à cette conclusion, il se fonde principalement sur l’expertise du 22 décembre 2016 du CEMed ainsi que sur les différents avis émis par le SMR. Pour sa part, la recourante conteste la valeur probante de l’expertise du CEMed. Selon elle, les diagnostics et l’anamnèse sont incomplets, le tableau des plaintes n’est pas pris en compte dans sa globalité et l’analyse des critères relatifs au trouble somatoforme douloureux est déficiente. En l’occurrence, l’expertise du CEMed a été établie sur la base d’une étude du dossier et d’un examen clinique de la recourante en médecine interne générale, rhumatologie et psychiatrie. Les experts ont précisé la méthode appliquée à la réalisation de l’expertise et rappelé dans quel contexte ils avaient été mandatés. Ils ont listé les pièces médicales et procédurales consultées, ainsi que les médecins ayant eu à connaître du cas. Les faits pertinents, extraits desdites pièces, ont été résumés. L’anamnèse et les plaintes de la recourante ont été exposées de manière détaillée et approfondie. Quant à la discussion du cas et les diagnostics, ils sont clairs et découlent directement des constatations objectives, telles qu’elles ressortent de l’expertise. Les conséquences, ou non, des atteintes à la santé de la recourante sur sa capacité de travail sont motivées de manière complète et convaincante, étant précisé que le rapport a été établi conjointement par les experts après une discussion interdisciplinaire. Dès lors, cette expertise répond aux exigences de la jurisprudence et doit se voir reconnaître une pleine valeur probante. Il en va de même pour les avis du SMR qui s’y rapportent et qui en valident le contenu. La recourante reproche tout d’abord aux experts d’avoir établi une anamnèse et une liste de diagnostics incomplètes. Elle souffrait en effet de troubles oculaires, tel que cela ressort du rapport du 23 janvier 2017 de la Dresse W______, et de problèmes au niveau de l’oreille interne, qui avaient pourtant été ignorés par les experts. En outre, l’expertise ne mentionnait nulle part l’existence de son accident du 20 janvier 2015, lequel avait pourtant conduit à une prise en charge de plusieurs mois par la SUVA. De manière générale, contrairement à ce que soutient la recourante, le fait que des experts ne retiennent pas un diagnostic ne constitue pas de facto un oubli de leur part, mais peut signifier simplement que les éléments en leur possession sont insuffisants pour le retenir.</w:t>
      </w:r>
    </w:p>
    <w:p>
      <w:r>
        <w:t>A/3560/2017 - 29/32 - Dans le cas particulier, s’agissant des troubles oculaires, force est de constater que leur nature n’a été définie qu’en janvier 2017, lorsque la Dresse W______ a rendu son rapport. Avant cela, le dossier ne contenait que très peu d’informations à ce sujet. En tout état de cause et ainsi que le retiennent la Dresse L______ du SMR dans son avis du 13 juin 2017 et le Dr B______ dans son rapport du 17 juin 2015, les atteintes ophtalmologiques de la recourante sont sans effet sur sa capacité de travail. Or, il ne suffit pas d’établir l’absence de ces diagnostics ophtalmologiques. Encore faut-il que cette absence soit suffisamment importante pour remettre en cause les conclusions de l’expertise, en particulier sur la question de la capacité de travail, ce qui n’est pas le cas en l’occurrence. Quant aux troubles de l’oreille interne invoqués par la recourante, il semble que cette dernière fasse allusion à ses problèmes de vertige. Le fait que les experts n’aient retenu aucun diagnostic en rapport avec ces troubles ne saurait conduire à une remise en question de la valeur probante de l’expertise. En effet, il apparaît, au vu du rapport, qu’ils avaient connaissance de cette problématique, que l’examen neurologique était dans les normes et qu’ils ont tenu compte des conclusions des Drs C______ et B______, médecins traitants de l’intéressée, à ce sujet. En outre, dans son rapport du 17 juin 2015, le Dr B______ a classé les vertiges de la recourante dans la catégorie des diagnostics sans effet sur la capacité de travail. À compter de cette date, lesdits vertiges sont passés au second plan par rapport à d’autres plaintes, en particulier les douleurs ressenties, et n’ont plus jamais été considérés comme incapacitants. Comme le relève la recourante, son accident du 20 janvier 2015 n’est pas mentionné dans l’expertise. Cela s’explique par le fait que la SUVA n’a communiqué cette information à l’intimé que le 27 avril 2017. À cet égard et contrairement à ce que soutient l’intimé, peu importe que la SUVA ne lui ait pas communiqué ces informations en temps utile. Selon le principe de la vraisemblance prépondérante, il semble également que l’intéressée n’ait pas fait mention de cet accident aux experts. En effet, compte tenu de la précision et du soin manifestement apportés par ces derniers à l’élaboration de l’anamnèse, il est peu probable qu’ils aient mentionné les accidents du 4 décembre 2011 et 30 octobre 2012, mais passé sous silence l’accident du 20 janvier 2015. Toutefois, en l’occurrence, peu importe si les experts ont eu connaissance de cet accident ou non lors de la réalisation de l’expertise. En effet, à teneur de l’appréciation médicale du 26 octobre 2015 du Dr X______, il apparaît que le traumatisme subi le 20 janvier 2015 a décompensé l’état clinique de la recourante au niveau de son coccyx sur une période de six mois, ce qui est en tous les cas insuffisant pour pouvoir être considéré comme une atteinte durable à sa capacité de travail. D’ailleurs, la recourante n’a pas remis en question cette appréciation médicale, ni la décision de fin de prestations de la SUVA qui s’en est suivie. En second lieu, la recourante considère que les experts n’ont pas pris en considération le tableau des plaintes dans sa globalité. Ce grief ne résiste pas à</w:t>
      </w:r>
    </w:p>
    <w:p>
      <w:r>
        <w:t>A/3560/2017 - 30/32 - l’examen. Comme cela a déjà été relevé précédemment, les experts ont pris soin de dresser une liste précise des plaintes de la recourante et ont procédé à une discussion interdisciplinaire avant d’établir conjointement l’expertise. Ils ont ainsi pris leurs conclusions en toute connaissance du cas. À cela s’ajoute que la recourante ne précise pas quelles plaintes n’auraient pas été prises en compte par les experts et/ou dans quelle mesure cela aurait eu une influence sur la capacité de travail retenue. Enfin, la recourante critique l’analyse des experts sur la question du trouble somatoforme douloureux qu’elle juge extrêmement sommaire. S’agissant de ce diagnostic, les experts ont relevé les faits suivants : l’intéressée exprimait de nombreuses plaintes ; il y avait des divergences entre les symptômes décrits et les observations cliniques ; son apparence, sa gestuelle et son attitude étaient positives ; aucun trouble cognitif ou formel de la pensée n’était constaté ; il n’y avait pas d’indice pour un trouble de la personnalité ou d’atteinte psychiatrique ; aucun traitement psychiatrique n’était en cours ; la recourante ne présentait aucune limitation fonctionnelle psychique ; le déroulement du quotidien ne relevait pas de dysfonctionnement significatif, au contraire ; l’intéressée était désireuse de reprendre une activité professionnelle et avait exprimé son désir de bénéficier de mesures professionnelles ; dans la mesure où aucun diagnostic psychiatrique n’avait été retenu, le diagnostic de trouble somatoforme douloureux restait purement descriptif ; aucune incapacité de travail ni diminution de rendement n’était à constater sur le plan psychique. Compte tenu de ces éléments et contrairement à ce que soutient la recourante, la motivation des experts permet de comprendre les motifs qui les ont conduits à écarter toute influence du trouble somatoforme douloureux sur la capacité de travail. En effet, il existe une discordance entre les plaintes de l’intéressée et les constatations cliniques et radiologiques, ce qui constitue habituellement un critère d’exclusion du diagnostic de trouble somatoforme douloureux. À cela s’ajoute l’absence de comorbidité psychiatrique, de perte d’intégration sociale, d’un état psychique cristallisé ou encore d’échec des traitements ambulatoires ou stationnaires conformes aux règles de l'art, ce qui tend à démontrer que, même s’il fallait ne pas tenir compte de la discordance entre les plaintes et les constatations objectives, la recourante disposerait des ressources personnelles nécessaires pour surmonter ses douleurs. Compte tenu de ces éléments, la chambre de céans ne saurait s’écarter des conclusions de l’expertise du CEMed, ce d’autant plus qu’elles concordent avec celles du SMR et des médecins d’arrondissement de la SUVA. Dès lors, la conclusion de la recourante tendant à la mise en œuvre d’une nouvelle expertise multidisciplinaire doit être écartée. L’incapacité de travail de la recourante a fluctué du 4 décembre 2011 au 1er mars 2013. Elle a repris le travail durant une durée supérieure à 30 jours, du 1er mai au</w:t>
      </w:r>
    </w:p>
    <w:p>
      <w:r>
        <w:t>A/3560/2017 - 31/32 - 7 juin 2012, ce qui a eu pour effet d’interrompre le délai de carence d’une année ayant débuté le 4 décembre 2011. Ainsi, au-delà du 30 avril 2012, les périodes d’incapacité de travail de la recourante n’ont jamais atteint la durée d’une année, condition nécessaire à l’octroi d’une rente d’invalidité. S’agissant des mesures professionnelles, elles doivent également lui être refusées, en l’absence d’un quelconque degré d’invalidité. Par conséquent, c’est à bon droit que l’intimé a rejeté la demande de prestations de la recourante.</w:t>
      </w:r>
    </w:p>
    <w:p>
      <w:r>
        <w:rPr>
          <w:b/>
        </w:rPr>
        <w:t>E. 15</w:t>
      </w:r>
    </w:p>
    <w:p>
      <w:r>
        <w:t>Au vu de ce qui précède, le recours sera rejeté. La procédure n'étant pas gratuite (art. 69 al. 1bis LAI), il y a lieu de condamner la recourante au paiement d'un émolument de CHF 200.-.</w:t>
      </w:r>
    </w:p>
    <w:p>
      <w:r>
        <w:t>A/3560/2017 - 32/32 -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