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ATAS/396/2011 vom 21. April 2011</w:t>
      </w:r>
    </w:p>
    <w:p>
      <w:r>
        <w:t>GE Cour de justice, 2011-04-21, FR</w:t>
      </w:r>
    </w:p>
    <w:p>
      <w:r>
        <w:rPr>
          <w:b/>
        </w:rPr>
        <w:t xml:space="preserve">Quelle: </w:t>
      </w:r>
      <w:r>
        <w:t>https://mcp.opencaselaw.ch/entscheid/ge_gerichte_ATAS_396_2011</w:t>
      </w:r>
    </w:p>
    <w:p>
      <w:r>
        <w:t>FR: GE_GERICHTE ATAS/396/2011 du 21 avril 2011</w:t>
      </w:r>
    </w:p>
    <w:p>
      <w:r>
        <w:t>IT: GE_GERICHTE ATAS/396/2011 del 21 aprile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3 avril 2009, de même que les faits à la base de la présente cause, sont postérieurs à l'entrée en vigueur de la LPGA ainsi qu'à</w:t>
      </w:r>
    </w:p>
    <w:p>
      <w:r>
        <w:t>A/1783/2009 - 10/15 -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en tenant compte, le cas échéant, des modifications intervenues dans le cadre de la 5ème révision de la LAI entrée en vigueur le 1er janvier 2008.</w:t>
      </w:r>
    </w:p>
    <w:p>
      <w:r>
        <w:rPr>
          <w:b/>
        </w:rPr>
        <w:t>E. 3</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Déposé dans les formes et délai prévus par la loi, le recours est recevable (art. 56 à 60 LPGA).</w:t>
      </w:r>
    </w:p>
    <w:p>
      <w:r>
        <w:rPr>
          <w:b/>
        </w:rPr>
        <w:t>E. 5</w:t>
      </w:r>
    </w:p>
    <w:p>
      <w:r>
        <w:t>En outre, la Cour de céans a pris acte du retrait de l’enfant de la présente procédure en qualité de recourant et confirme que ledit recours reste pendant uniquement au nom de Monsieur M___________.</w:t>
      </w:r>
    </w:p>
    <w:p>
      <w:r>
        <w:rPr>
          <w:b/>
        </w:rPr>
        <w:t>E. 6</w:t>
      </w:r>
    </w:p>
    <w:p>
      <w:r>
        <w:t>Est litigieux le droit du recourant à une augmentation de sa demi-rente d’invalidité à une rente entière.</w:t>
      </w:r>
    </w:p>
    <w:p>
      <w:r>
        <w:rPr>
          <w:b/>
        </w:rPr>
        <w:t>E. 7</w:t>
      </w:r>
    </w:p>
    <w:p>
      <w:r>
        <w:t>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w:t>
      </w:r>
    </w:p>
    <w:p>
      <w:r>
        <w:t>A/1783/2009 - 11/15 -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Compte tenu de la nécessité de clarifier des aspects médicaux, le Tribunal de céans a ordonné une expertise et mandaté le CEMED à cet effet.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w:t>
      </w:r>
    </w:p>
    <w:p>
      <w:r>
        <w:t>A/1783/2009 - 12/15 -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8</w:t>
      </w:r>
    </w:p>
    <w:p>
      <w:r>
        <w:t>En l’occurrence, figurent au dossier notamment un certificat médical du Dr A___________, des rapports du Dr B___________ et du Dr C___________, du Dr D___________ ainsi que des rapports du SMR et l’expertise du Centre Universitaire de Médecine Légale, réalisée sur mandat de l’OAI, avec un complément d’expertise du 21 novembre 2008. Il convient de relever, en particulier, que le Dr B___________, médecin traitant du recourant, insiste sur l’incapacité de travail à 100% dès le 8 octobre 2001. De leur côté, les experts du Centre Universitaire de Médecine Légale concluent à une capacité de travail résiduelle de 50% sans diminution de rendement. Toutefois, cette expertise précise que, sur le plan somatique, les limitations fonctionnelles orthopédiques sont du ressort d’un spécialiste. Conformément au contenu de l’avis médical du SMR, le Centre Universitaire de Médecine Légale s’est limité à procéder à une expertise psychiatrique laissant l’aspect somatique à un spécialiste.</w:t>
      </w:r>
    </w:p>
    <w:p>
      <w:r>
        <w:rPr>
          <w:b/>
        </w:rPr>
        <w:t>E. 9</w:t>
      </w:r>
    </w:p>
    <w:p>
      <w:r>
        <w:t>Il sied de rappeler que, dans son avis médical du 24 octobre 2006, le SMR relevait en particulier que « Les renseignements médicaux sont insuffisants et il faut convoquer l’assuré pour un examen SMR rhumato-psy. » En outre, selon avis médical du 22 février 2008, le même SMR constatait que l’examen n’avait pas été possible et précisait « en remplacement, une expertise psychiatrique sera effectuée à l’institut universitaire de médecine légale (mandat à adresser au Dr. F___________,</w:t>
      </w:r>
    </w:p>
    <w:p>
      <w:r>
        <w:t>A/1783/2009 - 13/15 - chef de clinique). En plus du mandat habituel, l’expert nous renseignera sur la possibilité d’effectuer une expertise rhumatologique chez un expert indépendant (…) et si tel n’est pas le cas organisera dans un deuxième temps, une expertise rhumatologique dans le cadre des institutions ou de l’institut de médecine légale selon son appréciation. » Dans son rapport du 15 janvier 2009, le SMR précise « Sur le plan somatique, les nouvelles atteintes n’ont pas de répercussion de longue durée sur l’exigibilité : une plaie à l’avant-bras D le 17.05.2004, ne l’empêchait pas de suivre la stage prévu, de l’avis du Dr B___________, MT ; une lombosciatalgie D en août - septembre 2004 n’a pas justifié d’investigations ; il a présenté une épicondylite. Le Dr E___________, neurologue, ne constate le 02.06.2005 qu’un déficit de pronation modéré au coude D et une hypoesthésie du territoire du brachial cutané externe. » Cependant, aucune expertise rhumatologique n’a été effectué comme le préconisait l’avis médical du SMR du 22 février 2008 qui avait été discuté avec le Dr K__________ et le Dr L__________, médecins du SMR.</w:t>
      </w:r>
    </w:p>
    <w:p>
      <w:r>
        <w:rPr>
          <w:b/>
        </w:rPr>
        <w:t>E. 10</w:t>
      </w:r>
    </w:p>
    <w:p>
      <w:r>
        <w:t>Pour sa part, l’OAI a notifié une décision sur la base des conclusions du SMR et d’une expertise psychiatrique. Cette décision se base donc sur l’aspect psychiatrique de la situation du recourant, sans examiner de façon complète le volet somatique.</w:t>
      </w:r>
    </w:p>
    <w:p>
      <w:r>
        <w:rPr>
          <w:b/>
        </w:rPr>
        <w:t>E. 11</w:t>
      </w:r>
    </w:p>
    <w:p>
      <w:r>
        <w:t>Conformément au principe inquisitoire qui régit la procédure dans le domaine des assurances sociales (cf. art. 43 LPGA), il appartient en premier chef à l'administration de déterminer, en fonction de l'état de fait à élucider, quelles sont les mesures d'instruction qu'il convient de mettre en œuvre dans un cas d'espèce; qu'elle dispose à cet égard d'une grande liberté d'appréciation; que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qu'en particulier, elle doit mettre en œuvre une expertise lorsqu'il apparaît nécessaire de clarifier les aspects médicaux du cas (ATF 117 V 283 consid. 4a; ATFA non publié du 19 mars 2004, I 751/03 consid. 3.3, RAMA 1985 K 646 p. 240 consid. 4;</w:t>
      </w:r>
    </w:p>
    <w:p>
      <w:r>
        <w:rPr>
          <w:b/>
        </w:rPr>
        <w:t>E. 12</w:t>
      </w:r>
    </w:p>
    <w:p>
      <w:r>
        <w:t>Par ailleurs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qu'un renvoi à l'administration, lorsqu'il a pour but d'établir l'état de fait, ne viole ni le principe de simplicité et de rapidité de la procédure, ni le principe inquisitoire; qu'il en va cependant autrement quand un renvoi constitue en soi un déni de justice (par exemple, lorsque, en raison des circonstances, seule une expertise judiciaire ou une autre mesure probatoire judiciaire serait propre à établir l'état de fait), ou si un</w:t>
      </w:r>
    </w:p>
    <w:p>
      <w:r>
        <w:t>A/1783/2009 - 14/15 - renvoi apparaît disproportionné dans le cas particulier (RAMA 1993 n° U 170 p. 136, 1989 n° K 809 p. 206); qu'à l'inverse, le renvoi à l'administration apparaît en général justifié si celle-ci a constaté les faits de façon sommaire, dans l'idée que le tribunal les éclaircirait comme il convient en cas de recours (voir RAMA 1986 n° K 665 p. 87)</w:t>
      </w:r>
    </w:p>
    <w:p>
      <w:r>
        <w:rPr>
          <w:b/>
        </w:rPr>
        <w:t>E. 13</w:t>
      </w:r>
    </w:p>
    <w:p>
      <w:r>
        <w:t>En l'espèce, il convient de constater que l’OAI a limité sa mission d’examen à l’aspect psychiatrique du recourant sans approfondir le volet somatique comme le mentionné le SMR à l’occasion de son avis médical du 22 février 2008. Il est donc pertinent d’inviter l’OAI à soumettre le recourant à un examen rhumatologique afin de déterminer l’éventuel caractère invalidant des douleurs somatiques.</w:t>
      </w:r>
    </w:p>
    <w:p>
      <w:r>
        <w:rPr>
          <w:b/>
        </w:rPr>
        <w:t>E. 14</w:t>
      </w:r>
    </w:p>
    <w:p>
      <w:r>
        <w:t>Il convient donc de constater que la décision limitant les prestations à une demi- rente n'est pas fondée sur une situation médicale correctement investiguée. En l'état, la décision litigieuse sera annulée, le dossier renvoyé à l'administration pour nouvelle instruction, dans le sens d'un examen rhumatologique.</w:t>
      </w:r>
    </w:p>
    <w:p>
      <w:r>
        <w:rPr>
          <w:b/>
        </w:rPr>
        <w:t>E. 15</w:t>
      </w:r>
    </w:p>
    <w:p>
      <w:r>
        <w:t>Conformément à la jurisprudence constante du Tribunal fédéral des assurances, le recourant a droit à des dépens pour autant que les chances de succès du procès le justifient (ATF 110 V 57 consid. 2a ; RCC 1989 p. 318 consid. 2b). Bien que l’intimé ne se soit pas déterminé sur un complément d’instruction, il convient de relever que cette lacune a incité le recourant à agir par voie de recours. Des dépens seront donc alloués au recourant à hauteur de 1'500 fr.</w:t>
      </w:r>
    </w:p>
    <w:p>
      <w:r>
        <w:rPr>
          <w:b/>
        </w:rPr>
        <w:t>E. 16</w:t>
      </w:r>
    </w:p>
    <w:p>
      <w:r>
        <w:t>Il sera, en l’état, renoncé à la perception d'un émolument.</w:t>
      </w:r>
    </w:p>
    <w:p>
      <w:r>
        <w:t>A/1783/2009 - 15/15 -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