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ATAS/396/2010 vom 20. April 2010</w:t>
      </w:r>
    </w:p>
    <w:p>
      <w:r>
        <w:t>GE Cour de justice, 2010-04-20, FR</w:t>
      </w:r>
    </w:p>
    <w:p>
      <w:r>
        <w:rPr>
          <w:b/>
        </w:rPr>
        <w:t xml:space="preserve">Quelle: </w:t>
      </w:r>
      <w:r>
        <w:t>https://mcp.opencaselaw.ch/entscheid/ge_gerichte_ATAS_396_2010</w:t>
      </w:r>
    </w:p>
    <w:p>
      <w:r>
        <w:t>FR: GE_GERICHTE ATAS/396/2010 du 20 avril 2010</w:t>
      </w:r>
    </w:p>
    <w:p>
      <w:r>
        <w:t>IT: GE_GERICHTE ATAS/396/2010 del 20 aprile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(ci-après :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de savoir si l'état de santé du recourant justifie l'octroi d'une rente d'invalidité, ce qui suppose préalablement d'examiner la valeur probante des expertises figurant au dossier.</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w:t>
      </w:r>
    </w:p>
    <w:p>
      <w:r>
        <w:t>A/163/2008 - 15/21 -</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w:t>
      </w:r>
    </w:p>
    <w:p>
      <w:r>
        <w:t>A/163/2008 - 16/21 -</w:t>
      </w:r>
    </w:p>
    <w:p>
      <w:r>
        <w:t>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6</w:t>
      </w:r>
    </w:p>
    <w:p>
      <w:r>
        <w:t>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Depuis l'entrée en vigueur, le 1er janvier 2004, de la novelle du 21 mars 2003 modifiant la LAI (4ème révision)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7</w:t>
      </w:r>
    </w:p>
    <w:p>
      <w:r>
        <w:t>Dans le cas d'espèce, les contradictions entre l'expertise du Dr P________ et celle du Dr S________ ont conduit le Tribunal fédéral à considérer qu'une expertise judiciaire devait être ordonnée. L'expertise bidisciplinaire des Drs U________ et V________ a une pleine valeur probante et répond en tous points aux exigences de la jurisprudence en la matière. S'agissant des troubles rhumatologiques, l'expert a non seulement procédé à un examen très complet du dossier médical et radiologique, à une auscultation du patient et à l'examen de ses plaintes subjectives, mais il a aussi discuté et explicité</w:t>
      </w:r>
    </w:p>
    <w:p>
      <w:r>
        <w:t>A/163/2008 - 17/21 -</w:t>
      </w:r>
    </w:p>
    <w:p>
      <w:r>
        <w:t>les diagnostics qu'il retient, analysé dans le détail les clichés et l'appréciation clinique permettant de dater l'aggravation, soit la récidive de hernie, à février 2004. L'expert expose clairement en quoi l'interprétation des signes de Waddell par le Dr P________ doit être écartée et procède à une analyse fine et convaincante du sens à donner aux manifestations de douleur de l'assuré. L'analyse de l'expert, qui rejoint celle des autres médecins qui se sont prononcés, implique in fine que l'expertise du Dr P________ perd la valeur probante que le Tribunal de céans avait pensé pouvoir lui attribuer. Certes, l'expert ne se prononce pas expressément sur la capacité résiduelle de travail de l'assuré. Toutefois, son diagnostic, y compris s'agissant de la présence d'un Lasègue et de l'absence de signes de Waddell significatifs, les limitations fonctionnelles indiquées, l'analyse des clichés qui démontrent l'aggravation en février 2004, puis en 2006, rejoignent l'expertise faite par le Dr S________ (2008), et l'examen du Dr N_________ (2004). Le Dr S________, lui, s'est clairement prononcé sur la capacité résiduelle de travail de l'assuré, soit 25% (2 heures par jour) dans une activité adaptée à la liste des limitations fonctionnelles retenues et le Dr N_________ renvoie à l'analyse faite par le centre de rééducation, qui retient un rendement quasiment inexistant empêchant toute prise en charge dans un atelier occupationnel. Celle-ci obtient manifestement l'aval du Dr U________, qui indique qu'il est loisible au Tribunal, s'il n'est toujours pas convaincu et veut obtenir une preuve supplémentaire chiffrée et actualisée, de s'en assurer par un complément d'expertise. En l'occurrence, l'appréciation des preuves à disposition, et notamment l'analyse détaillée et comparative des deux expertises qui ont valeur probante, permet de retenir, sans instruction complémentaire, que l'assuré a été totalement incapable de travailler à 100% depuis juin 2003, et que l'amélioration de la capacité de travail à 50% a duré trois jours en février 2004, suivie d'une aggravation immédiate. Depuis lors, l'assuré dispose, du point de vue somatique d'une capacité de travail résiduelle de 25 % dans une activité adaptée. L'expertise psychiatrique est également complète sur le plan du diagnostic, de l'analyse des symptômes typiques de l'état dépressif majeur et de l'évaluation de la capacité de travail de l'assuré, qui est nulle en 2009. L'expert est peu précis s'agissant de la date à partir de laquelle l'état dépressif est majeur et implique, à lui seul, une incapacité de travail totale, la question complémentaire posée aux experts à ce sujet n'ayant pas trouvé réponse. Toutefois, on lit clairement que l'analyse faite en 2006 par le Dr E_______ est contestée, de façon convaincante, ce qui laisserait croire que l'état dépressif majeur est antérieur à 2006. L'expert indique que, si l'on se base sur l'avis du Dr E_______, il y a en tout cas une nette aggravation depuis avril 2006. Le Tribunal retiendra donc que l'assuré souffre d'un trouble dépressif</w:t>
      </w:r>
    </w:p>
    <w:p>
      <w:r>
        <w:t>A/163/2008 - 18/21 -</w:t>
      </w:r>
    </w:p>
    <w:p>
      <w:r>
        <w:t>qui est allé en s'aggravant depuis l'opération de novembre 2003, pour atteindre un degré de gravité majeur dès 2006 en tout cas. Malgré l'avis du SMR, cette question n'a pas besoin d'être investiguée plus avant, car le taux d'incapacité de travail de l'assuré, pour les motifs somatiques, suffit à déterminer son taux d'invalidité. De plus, l'expertise est claire sur un point supplémentaire: il est indispensable que le cas soit tranché rapidement, afin de permettre à l'assuré d'entreprendre une prise en charge psychiatrique de qualité et, si possible d'améliorer sa capacité de travail, et, à tout le moins, sa qualité de vie. Ainsi, le droit à la rente s'ouvre en 2004, vu l'incapacité de travail durable, dans le métier de maçon, depuis juin 2003. C'est à juste titre que l'OAI s'est référé aux salaires statistiques de 2004 TA1, toutes branches confondues, niveau quatre, activités simples et répétitives, hommes, soit un salaire de 4'588 fr. par mois. Correctement réévalué à l'évolution du coût de la vie ainsi qu'a la durée normale hebdomadaire de travail dans les entreprises, de 41,6 heures, par l'OAI, le salaire théorique avec invalidité, pour une activité à 100%, est de 57'258 fr. Le salaire sans invalidité, tel qu'il résulte des données de l'employeur, est de 62'205 fr. Ces chiffres ne sont d'ailleurs pas contestés par le recourant. La contestation porte sur le taux d'activité résiduelle de l'assuré et sur la déduction à opérer sur le salaire d'un invalide. D'une part, les expertises du Dr U________ et du Dr S________ permettent de retenir que l'assuré a une capacité de travail de 25% (2 heures par jour) dans une activité adaptée aux limitations fonctionnelles décrites (un changement de position fréquent, sans immobilisation dépassant un délai de</w:t>
      </w:r>
    </w:p>
    <w:p>
      <w:r>
        <w:rPr>
          <w:b/>
        </w:rPr>
        <w:t>E. 10</w:t>
      </w:r>
    </w:p>
    <w:p>
      <w:r>
        <w:t>minutes, sans position de porte à faux, sans mouvement répétitif du tronc, sans charge dépassant 10kg). D'autre part,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En l'occurrence, la déduction maximum se justifie absolument, au vu de l'ensemble des facteurs retenus, soit l'importance des limitations fonctionnelles et des douleurs liées au handicap, qui implique l'exercice d'un métier hautement improbable, l'absence de maîtrise de la langue française, l'inexpérience totale dans toute autre activité que celle de maçon, de sorte que l'on peut retenir en l'espèce une déduction de 25 % (cf. également ATAS 784/2006 et 147/2005, et références citées). Le taux d'invalidité est donc fixé ainsi, dès février 2004: - revenu sans invalidité : 62 205 fr.</w:t>
      </w:r>
    </w:p>
    <w:p>
      <w:r>
        <w:t>A/163/2008 - 19/21 -</w:t>
      </w:r>
    </w:p>
    <w:p>
      <w:r>
        <w:t>- revenu d'invalide : (57 258 fr. x 25%) – [25% x (57 258 fr. x 25%)] = 10'736 fr. - différence : 51 469 fr. - taux d'invalidité : 82,7 % Ensuite, il n'est pas nécessaire de déterminer avec précision la date de l'aggravation de l'état psychique, évaluée à avril 2006 et qui implique, à elle seule, une incapacité de travail à 100% et un taux d'invalidité de 100%. L'assuré a donc droit, quoi qu'il en soit, à une rente entière d'invalidité depuis l'aggravation sur le plan somatique, laquelle a pu être datée avec précision à février 2004. L'incapacité de travail durable a débuté le 23 juin 2003 et le droit à la rente prend naissance à l'échéance du délai de carence d'un an de l'article 28 LAI, le 23 juin 2004, de sorte qu'en application de l'article 29 al. 3 LAI, la rente est versée dès le 1er juin 2004. 8. Le recours est ainsi admis, la décision du 30 novembre 2007 est annulée, l'assuré est mis au bénéfice d'une rente entière d'invalidité dès le 1er juin 2004. 9.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Dans le cas d'espèce, il convient de retenir que le mandataire de l'assuré a rédigé plusieurs écritures, participé à deux audiences, procédé aux actes d'instruction rendus nécessaire par l'expertise judiciaire. De plus, l'assuré a dû mettre en œuvre</w:t>
      </w:r>
    </w:p>
    <w:p>
      <w:r>
        <w:t>A/163/2008 - 20/21 -</w:t>
      </w:r>
    </w:p>
    <w:p>
      <w:r>
        <w:t>une expertise privée, qui a été déterminante pour la présente cause, le Tribunal fédéral ayant estimé, sur cette base, qu'une expertise judiciaire se justifiait. Compte tenu des barèmes retenus par le Tribunal de céans, de l'évaluation du nombre d'heures que le mandataire a dû consacrer au dossier, mais du fait que l'indemnité n'est qu'une participation aux honoraires et aux frais, le Tribunal fixera les dépens à 3'500 fr.</w:t>
      </w:r>
    </w:p>
    <w:p>
      <w:r>
        <w:t>A/163/2008 - 21/21 -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