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ATAS/395/2022 vom 3. Mai 2022</w:t>
      </w:r>
    </w:p>
    <w:p>
      <w:r>
        <w:t>GE Cour de justice, 2022-05-03, FR</w:t>
      </w:r>
    </w:p>
    <w:p>
      <w:r>
        <w:rPr>
          <w:b/>
        </w:rPr>
        <w:t xml:space="preserve">Quelle: </w:t>
      </w:r>
      <w:r>
        <w:t>https://mcp.opencaselaw.ch/entscheid/ge_gerichte_ATAS_395_2022</w:t>
      </w:r>
    </w:p>
    <w:p>
      <w:r>
        <w:t>FR: GE_GERICHTE ATAS/395/2022 du 3 mai 2022</w:t>
      </w:r>
    </w:p>
    <w:p>
      <w:r>
        <w:t>IT: GE_GERICHTE ATAS/395/2022 del 3 maggio 2022</w:t>
      </w:r>
    </w:p>
    <w:p>
      <w:pPr>
        <w:pStyle w:val="Heading2"/>
      </w:pPr>
      <w:r>
        <w:t>Erwägungen</w:t>
      </w:r>
    </w:p>
    <w:p>
      <w:r>
        <w:rPr>
          <w:b/>
        </w:rPr>
        <w:t>E. 1</w:t>
      </w:r>
    </w:p>
    <w:p>
      <w:r>
        <w:t>Le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2.1</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2.2</w:t>
      </w:r>
    </w:p>
    <w:p>
      <w:r>
        <w:t>Selon l'art. 22 LFLP,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2.3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w:t>
      </w:r>
    </w:p>
    <w:p>
      <w:r>
        <w:t>A/2127/2020 5/6 31 décembre 2002, 3.25% en 2003, 2.25% en 2004, 2.5% de 2005 à 2007, 2.75% en 2008, 2% de 2009 à 2011, 1.5% de 2012 à 2013, 1.75% de 2014 à 2015, 1.25% en 2016 et 1% dès le 1er janvier 2017.</w:t>
      </w:r>
    </w:p>
    <w:p>
      <w:r>
        <w:rPr>
          <w:b/>
        </w:rPr>
        <w:t>E. 2.4</w:t>
      </w:r>
    </w:p>
    <w:p>
      <w:r>
        <w:t>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w:t>
      </w:r>
    </w:p>
    <w:p>
      <w:r>
        <w:rPr>
          <w:b/>
        </w:rPr>
        <w:t>E. 3</w:t>
      </w:r>
    </w:p>
    <w:p>
      <w:r>
        <w:t>En l’espèce, à teneur du jugement de divorce, le partage des prestations de sortie acquises durant le mariage par les demandeurs doit être fait par moitié. Les dates pertinentes sont, d’une part, celle du mariage, le 3 août 2012, d’autre part, le 25 juillet 2019, date à laquelle les ex-époux ont adressé leur convention de divorce au tribunal, soit l’acte introductif d’instance. Selon les documents recueillis durant l’instruction, la prestation acquise pendant le mariage par le demandeur est de CHF 41'261.76 (144'996.86 [101'686.71 + 43'310.15] - 103'735.10 [57'029.80 + 46'705.30], tandis que celle acquise par la demanderesse est de CHF 38'040.50 (77'096.25 [77'081.15 + 15.10] - 39'055.75), les intérêts ayant déjà été calculés par les institutions de prévoyance défenderesses. Ainsi, le demandeur doit à son ex-épouse le montant de CHF 20'630.88 (CHF 41'261.76 / 2) et celle-ci doit à celui-là le montant de CHF 19'020.25 (CHF 38'040.50 / 2), de sorte que c’est le demandeur qui doit à la demanderesse le montant de CHF 1'610.63 (CHF 20'630.88 – CHF 19'020.25). Les mesures d’instruction faites par la chambre de céans n’ont pas permis de mettre en évidence d'autres avoirs de prévoyance accumulés par les demandeurs durant le mariage. Force est à cet égard de rappeler que seules les cotisations effectivement versées peuvent être prises en considération dans le cadre d'une procédure visant au partage des prestations de sortie en matière de prévoyance professionnelle (ATAS/1365/2012 du 13 novembre 2012 consid. 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 (LPA-GE - E 5 10). ***</w:t>
      </w:r>
    </w:p>
    <w:p>
      <w:r>
        <w:t>A/2127/2020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