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ATAS/395/2019 vom 6. Mai 2019</w:t>
      </w:r>
    </w:p>
    <w:p>
      <w:r>
        <w:t>GE Cour de justice, 2019-05-06, FR</w:t>
      </w:r>
    </w:p>
    <w:p>
      <w:r>
        <w:rPr>
          <w:b/>
        </w:rPr>
        <w:t xml:space="preserve">Quelle: </w:t>
      </w:r>
      <w:r>
        <w:t>https://mcp.opencaselaw.ch/entscheid/ge_gerichte_ATAS_395_2019</w:t>
      </w:r>
    </w:p>
    <w:p>
      <w:r>
        <w:t>FR: GE_GERICHTE ATAS/395/2019 du 6 mai 2019</w:t>
      </w:r>
    </w:p>
    <w:p>
      <w:r>
        <w:t>IT: GE_GERICHTE ATAS/395/2019 del 6 maggio 2019</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w:t>
      </w:r>
    </w:p>
    <w:p>
      <w:r>
        <w:t>A/1087/2019 - 3/8 - (LPCC - J 4 25) concernant les prestations complémentaires familiales au sens de l’art. 36A LPCC en vigueur dès le 1er novembre 2012.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w:t>
      </w:r>
    </w:p>
    <w:p>
      <w:r>
        <w:t>A/1087/2019 - 4/8 -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a.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 10 mai 2005); - l’OAI avait attendu quatorze mois depuis l’opposition de l’assuré au projet pour mettre en œuvre une expertise multidisciplinaire à laquelle l’assuré avait conclu d’emblée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w:t>
      </w:r>
    </w:p>
    <w:p>
      <w:r>
        <w:t>A/1087/2019 - 5/8 - - l’OAI avait ordonné un complément d’expertise dix-sept mois après avoir obtenu les renseignements des médecins traitants (ATAS/860/2006 du 2 octobre 2006); - une nouvelle décision avait été rendue dix-huit mois après que la cause ait été renvoyée à l’office à la suite de l’admission partielle du recours (ATAS/62/2007 du 24 janvier 2007);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un recourant qui était sans nouvelle de l’OAI vingt et un mois après le dépôt d’une demande de révision (ATAS/860/2006 du 2 octobre 2006).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(ATAS/116/2013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w:t>
      </w:r>
    </w:p>
    <w:p>
      <w:r>
        <w:t>A/1087/2019 - 6/8 - instruction complémentaire et que se posait également une problématique de chevauchement des indemnités journalières avec le droit à la rente (arrêt du Tribunal fédéral des assurances I 241/04 du 15 juin 2006);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 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w:t>
      </w:r>
    </w:p>
    <w:p>
      <w:r>
        <w:t>A/1087/2019 - 7/8 - affaire sans difficultés excessives en matière d'assurance-accidents (arrêt du Tribunal fédéral 8C_176/2011 du 20 avril 2011); - une cause était pendante depuis trente-trois mois et en état d'être jugée depuis vingt-sept mois (ATF 125 V 373).</w:t>
      </w:r>
    </w:p>
    <w:p>
      <w:r>
        <w:rPr>
          <w:b/>
        </w:rPr>
        <w:t>E. 5</w:t>
      </w:r>
    </w:p>
    <w:p>
      <w:r>
        <w:t>En l’occurrence, la recourante reproche à l’intimé, d’une part, de ne jamais avoir statué sur la question de la remise de l’obligation de restituer le montant de CHF 800.-, comme il devait le faire en application de l’arrêt du 11 septembre 2017, d’autre part, de ne pas avoir encore rendu de décision suite à son opposition du 23 janvier 2019. S’agissant du premier grief soulevé, force est de constater que, suite à la transmission à la recourante le 20 avril 2018 du formulaire « feuille de calcul de la charge trop lourde, année 2018 », que la recourante a indiqué ne pas avoir reçu, l’intimé a rendu le 10 décembre 2018 une décision de compensation du montant de CHF 800.-, laquelle comprend, implicitement, un refus de remise de l’obligation de restituer. Il convient ainsi d’admettre que l’intimé, même si la décision précitée n’est pas explicite, a néanmoins statué suite à l’arrêt du 11 septembre 2017 en refusant toute remise de l’obligation de restituer le montant de CHF 800.-. Quant à l’opposition du 23 janvier 2019, au vu de la jurisprudence précitée, il apparait qu’un délai d’à peine deux mois entre l’opposition et le dépôt du présent recours ne saurait être qualifié de retard injustifié à statuer de la part du SCAF.</w:t>
      </w:r>
    </w:p>
    <w:p>
      <w:r>
        <w:rPr>
          <w:b/>
        </w:rPr>
        <w:t>E. 6</w:t>
      </w:r>
    </w:p>
    <w:p>
      <w:r>
        <w:t>Au vu de ce qui précède, le recours ne peut qu’être rejeté. Pour le surplus, la procédure est gratuite (art. 61 let. a LPGA).</w:t>
      </w:r>
    </w:p>
    <w:p>
      <w:r>
        <w:t>A/1087/2019 - 8/8 -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