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ATAS/395/2011 vom 30. September 2010</w:t>
      </w:r>
    </w:p>
    <w:p>
      <w:r>
        <w:t>GE Cour de justice, 2010-09-30, FR</w:t>
      </w:r>
    </w:p>
    <w:p>
      <w:r>
        <w:rPr>
          <w:b/>
        </w:rPr>
        <w:t xml:space="preserve">Quelle: </w:t>
      </w:r>
      <w:r>
        <w:t>https://mcp.opencaselaw.ch/entscheid/ge_gerichte_ATAS_395_2011</w:t>
      </w:r>
    </w:p>
    <w:p>
      <w:r>
        <w:t>FR: GE_GERICHTE ATAS/395/2011 du 30 septembre 2010</w:t>
      </w:r>
    </w:p>
    <w:p>
      <w:r>
        <w:t>IT: GE_GERICHTE ATAS/395/2011 del 30 settembre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doit, après que l'affaire lui a été transmise (art. 142 CC), exécuter d'office le partage sur la base de la clé de répartition déterminée par le juge du divorce. Jusqu’au 31 décembre 2007, le Tribunal cantonal des assurances sociales connaissait en instance unique des contestations relatives au partage des avoirs de prévoyance en cas de divorce (cf. art. 56 V al. 1 de la loi sur l'organisation judiciaire, du 22 novembre 1941 (aLOJ ; RS E 2 05). Dès le 1er janvier 2011, cette compétence revient à la Chambre des assurances sociales de la Cour de justice, laquelle reprend la procédure pendante devant le</w:t>
      </w:r>
    </w:p>
    <w:p>
      <w:r>
        <w:t>A/3988/2010 6/8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6 novembre 1992, d’autre part le 9 novembre 2010, date à laquelle le jugement de divorce est devenu exécutoire.</w:t>
      </w:r>
    </w:p>
    <w:p>
      <w:r>
        <w:rPr>
          <w:b/>
        </w:rPr>
        <w:t>E. 5</w:t>
      </w:r>
    </w:p>
    <w:p>
      <w:r>
        <w:t>Selon les documents produits, la prestation acquise pendant le mariage par le demandeur est de 73’238 fr. 15 tandis que celle acquise par la demanderesse est de 40’835 fr. 65, les intérêts ayant déjà été calculés par les institutions de prévoyance défenderesses. En effet, s’agissant de la prestation de libre passage acquise par le demandeur au moment du mariage avec intérêts jusqu’au jour du divorce, la Cour de céans retiendra le montant de 3'611 fr. 70 résultant du calcul précis effectué par HELVETIA ASSURANCES et non du montant de 274 fr. calculé sur la base des tableaux établis par l’OFAS. Ainsi le demandeur doit à son ex-épouse le montant de 36'619 fr. 10 (73’238 fr. 15 : 2) et celle-ci doit à celui-là le montant de 20'417 fr. 80 (40'835 fr. 65 : 2), de sorte que c’est le demandeur qui doit à la demanderesse le montant de 16'201 fr. 30.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A/3988/2010 7/8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A/3988/2010 8/8</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