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ATAS/394/2025 vom 27. Mai 2025</w:t>
      </w:r>
    </w:p>
    <w:p>
      <w:r>
        <w:t>GE Cour de justice, 2025-05-27, FR</w:t>
      </w:r>
    </w:p>
    <w:p>
      <w:r>
        <w:rPr>
          <w:b/>
        </w:rPr>
        <w:t xml:space="preserve">Quelle: </w:t>
      </w:r>
      <w:r>
        <w:t>https://mcp.opencaselaw.ch/entscheid/ge_gerichte_ATAS_394_2025</w:t>
      </w:r>
    </w:p>
    <w:p>
      <w:r>
        <w:t>FR: GE_GERICHTE ATAS/394/2025 du 27 mai 2025</w:t>
      </w:r>
    </w:p>
    <w:p>
      <w:r>
        <w:t>IT: GE_GERICHTE ATAS/394/2025 del 27 maggio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 art. 89B de la loi sur la procédure administrative du 12 septembre 1985 [LPA - E 5 10]). 2. Le litige porte sur le bien-fondé du refus de l'intimé d'accorder au recourant la remise de son obligation de restituer la somme réclamée dans la décision sur opposition du 2 novembre 2022 confirmant la décision de restitution du 14 octobre 2022. 2.1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sur la partie générale du droit des assurances sociales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À teneur de l'art. 24 LPCC, les prestations indûment touchées doivent être restituées. La restitution ne peut être exigée lorsque l'intéressé était de bonne foi et qu'elle le mettrait dans une situation difficile (al. 1). Le règlement fixe la</w:t>
      </w:r>
    </w:p>
    <w:p>
      <w:r>
        <w:t>A/1778/2024 - 7/14 -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 2.2 À teneur de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l’assurance-vieillesse, survivants et invalidité du</w:t>
      </w:r>
    </w:p>
    <w:p>
      <w:r>
        <w:rPr>
          <w:b/>
        </w:rPr>
        <w:t>E. 15</w:t>
      </w:r>
    </w:p>
    <w:p>
      <w:r>
        <w:t>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Conformément à l'art. 11 al. 1 LPCC, le bénéficiaire ou son représentant légal doit déclarer au service tout fait nouveau de nature à entraîner la modification du montant des prestations qui lui sont allouées ou leur suppression. 2.3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w:t>
      </w:r>
    </w:p>
    <w:p>
      <w:r>
        <w:t>A/1778/2024 - 8/14 - ou de renseigner (ATF 138 V 218 consid. 4 ; arrêts du Tribunal fédéral 8C_640/2023 du 19 avril 2024 consid. 5.2,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arrêts du Tribunal fédéral 8C_ 640/2023 du 19 avril 2024 consid. 5.2 et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2.4 Les directives concernant les prestations complémentaires à l'AVS et à l'AI (ci-après : DPC), valable dès le 1er avril 2011 (état au 1er janvier 2024), énoncent que si une prestation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w:t>
      </w:r>
    </w:p>
    <w:p>
      <w:r>
        <w:t>A/1778/2024 - 9/14 -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 2.5 Le Tribunal fédéral a eu à se prononcer à de multiples reprises sur la question de la négligence grave. 2.5.1 À titre d’exemple, le Tribunal fédéral a retenu une négligence grave excluant toute bonne foi dans le cas : - d’une bénéficiaire qui n’avait pas spontanément informé le service sur l’état de sa fortune, d’autant plus qu’elle avait reçu chaque début d’année des informations précises à ce sujet (arrêt du Tribunal fédéral 9C_746/2016 du 11 janvier 2017 consid. 4) ;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prestation complémentaire annuelle a été réduite de CHF 150.-) ; - d’un couple qui n’avait pas réagi à une décision erronée accroissant les prestations complémentaires versées, alors qu’il avait annoncé la perception d’une nouvelle rente devant aboutir à une diminution des prestations ;</w:t>
      </w:r>
    </w:p>
    <w:p>
      <w:r>
        <w:t>A/1778/2024 - 10/14 -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 - d’un bénéficiaire de prestations complémentaires qui avait passé sous silence l'augmentation du revenu de son épouse, en violation de son obligation de renseigner (arrêt du Tribunal fédéral des assurances P 17/03 du 3 février 2004 consid. 4.1). 2.5.2 En revanche, la condition de la bonne foi a été considérée comme remplie dans le cas :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 reprocher d’avoir violé un quelconque devoir d’annoncer et sa bonne foi devait être reconnue (arrêt du Tribunal fédéral 9C_638/2014 du 13 août 2015 consid. 6) ;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la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 ; - d’une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w:t>
      </w:r>
    </w:p>
    <w:p>
      <w:r>
        <w:t>A/1778/2024 - 11/14 -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 2.6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3.</w:t>
      </w:r>
    </w:p>
    <w:p>
      <w:r>
        <w:t>3.1 En l'espèce, la décision sur opposition du 2 novembre 2022 prononçant la restitution du montant de CHF 1'684.- correspondant aux prestations de PCC et PCF versées à tort en faveur de l'intéressé, est entrée en force. Par décision sur opposition du 30 avril 2024 (décision querellée), l'intimé a rejeté la demande de remise du 21 octobre 2022 de l'obligation de restituer le montant versé en trop. Il a considéré que la condition de la bonne foi n'était pas réalisée, au motif que le recourant s'était abstenu de l'informer spontanément de l'augmentation de sa rente. Le recourant, pour sa part, soutient que sa bonne foi et sa situation financière s'opposeraient à la restitution des prestations qu'il a indûment touchées. Il fait notamment valoir qu'il ne savait pas que le décès de son épouse pouvait avoir une conséquence sur le calcul de son droit aux prestations de l'intimé. De plus, les modalités de calcul de ces prestations sont « obscures, compliquées et incompréhensibles » pour que l'on puisse demander au bénéficiaire de les contrôler. Il a également mis en avant son contexte financier qui rendrait impossible le remboursement du « trop versé » demandé par l'intimé.</w:t>
      </w:r>
    </w:p>
    <w:p>
      <w:r>
        <w:t>A/1778/2024 - 12/14 - 3.2 À titre liminaire, il sied de préciser que la décision sur opposition du 2 novembre 2022 prononçant la restitution du montant trop versé par l'intimé confirme la décision du 14 octobre 2022 par lequel l'intimé demande la restitution du montant de CHF 1'684.-, et non de CHF 1'624.- tel que repris par les parties. En effet, même si dans la décision sur opposition litigieuse, soit celle qui se prononce sur la demande de remise, l'intimé mentionne le montant de CHF 1'624.-, il convient de reconnaître qu'il s'agit d'une erreur de plume de sorte que le montant dû reste celui calculé dans la décision de restitution du 14 octobre 2022, confirmée par décision sur opposition du 2 novembre 2022, soit celui correspondant à CHF 1'684.-. 3.3 La chambre de céans ne saurait suivre le recourant lorsqu'il soutient qu'il réalise la condition de la bonne foi. Le recourant bénéficiait d'une rente AVS/AI mensuelle de CHF 1'791.- depuis le mois de mai 2014. Lorsqu'il a été mis au bénéfice des PCF et PCC à partir du 1er août 2018, l'intimé a tenu compte, dans sa décision du 31 janvier 2019, de cette rente annualisée à titre de revenu déterminant. Par la suite, le recourant a reçu plusieurs décisions d'octroi de prestations complémentaires qui comprenaient le calcul détaillé sur la base duquel était établi son droit aux prestations, notamment les revenus pris en compte, qui correspondaient à chaque fois à la rente AVS/AI annualisée. Ces décisions rappelaient en outre l'obligation du recourant de signaler tous changements intervenus dans sa situation personnelle et/ou financière. Selon les éléments du dossier, à partir du mois de juillet 2022, soit le mois suivant le décès de l'épouse du recourant, sa rente mensuelle a été portée de CHF 1'791.- à CHF 2'227.-, en raison de l'octroi d'une rente de veuf, ce qui n'a pas été contesté par le recourant. Cette revalorisation de la rente a entraîné une augmentation du revenu déterminant. Il appartenait donc au recourant d'en informer spontanément l'intimé, conformément à son obligation de renseigner l'administration. Or, le recourant n'a entrepris aucune démarche en ce sens, et ce malgré les rappels systématiques figurant dans les décisions d'octroi de prestations complémentaires rendues par l'intimé ainsi que le courrier du 1er décembre 2021 enjoignant au recourant de signaler toute modification susceptible d'influencer son droit aux prestations. Une telle omission de renseigner l'administration dépasse le cadre d'une négligence légère et relève de la négligence grave, ce d'autant plus que l'augmentation de la rente, d'un peu plus de CHF 400.- par mois, était relativement substantielle. Dans ces circonstances, le recourant ne saurait valablement soutenir qu'il ignorait que le décès de son épouse pouvait avoir une incidence sur le montant de la rente perçue, puisqu'à la suite du décès de celle-ci, son revenu a été revalorisé en tenant compte d'une rente de veuf à partir du mois de juillet 2022. Comme indiqué par l'intimé, le recourant ne pouvait dès lors ignorer que l'augmentation de son revenu</w:t>
      </w:r>
    </w:p>
    <w:p>
      <w:r>
        <w:t>A/1778/2024 - 13/14 - avait pour corollaire une adaptation de ses prestations complémentaires, et, le cas échéant, une obligation de restituer le trop-perçu. Le recourant prétend également à tort qu'il y aurait eu une erreur de calcul de la part de l'intimé. Ce dernier n'a eu connaissance de l'augmentation de la rente du recourant que par la consultation du registre fédéral des rentes auprès de la Centrale de compensation, et non par le recourant lui-même. Il s'ensuit que la rectification du droit aux prestation complémentaires à compter du 1er juillet 2022 ne découle nullement d'une erreur de l'intimé, mais bien d'une omission de renseigner de sa situation de la part du recourant. Enfin, le recourant soutient que les modalités de calculs opérés par l'intimé seraient « obscures, compliquées, incompréhensibles », de sorte qu'il ne pouvait pas lui être demandé de les contrôler. Cet argument ne saurait être suivi. En effet, les plans de calcul fournis par l'intimé à l'appui de chacune de ses décisions contiennent de manière explicite, sous la rubrique « revenu déterminant » une ligne intitulée « prestations de l'AVS/AI – rentes de l'AVS/AI », avec l'indication du montant annuel de la rente. Le recourant était ainsi en mesure d'identifier le revenu pris en compte dans le calcul de ses prestations. Il ne peut dès lors prétendre que les décisions de l'intimé étaient incompréhensibles. Il est rappelé à cet égard que, selon la jurisprudence du Tribunal fédéral, il n'est pas demandé à un bénéficiaire de prestations de connaître dans leurs moindres détails les règles légales. En revanche, il est exigible de lui qu'il vérifie les éléments pris en compte par l'administration pour calculer son droit aux prestations. Au vu de ces éléments, il y a lieu de considérer que le comportement du recourant constitue pour le moins une violation de l'obligation d'annoncer et de renseigner l'administration et relève d'une négligence grave. Par conséquent, la bonne foi du recourant au sens de l'art. 25 al. 1 LPGA ainsi que de l'art. 24 al. 1 LPCC doit être niée. 3.4 Le recourant a allégué dans ses écritures que sa situation financière ne lui permettait pas de restituer le montant réclamé par l'intimé. Il convient toutefois de rappeler que la remise de l'obligation de restituer ne peut être accordée que si les deux conditions cumulatives de la bonne foi et de la situation financière difficile sont réalisées. Dans le cas présent, la négligence grave dont a fait preuve le recourant exclut sa bonne foi, de sorte qu'il n'y a pas lieu d'analyser la condition de la situation financière difficile. 4. Partant, le recours est rejeté. 5. La procédure est gratuite (art. 61 let. f bis LPGA a contrario).</w:t>
      </w:r>
    </w:p>
    <w:p>
      <w:r>
        <w:t>A/1778/2024 - 14/14 -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