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ATAS/394/2021 vom 29. April 2021</w:t>
      </w:r>
    </w:p>
    <w:p>
      <w:r>
        <w:t>GE Cour de justice, 2021-04-29, FR</w:t>
      </w:r>
    </w:p>
    <w:p>
      <w:r>
        <w:rPr>
          <w:b/>
        </w:rPr>
        <w:t xml:space="preserve">Quelle: </w:t>
      </w:r>
      <w:r>
        <w:t>https://mcp.opencaselaw.ch/entscheid/ge_gerichte_ATAS_394_2021</w:t>
      </w:r>
    </w:p>
    <w:p>
      <w:r>
        <w:t>FR: GE_GERICHTE ATAS/394/2021 du 29 avril 2021</w:t>
      </w:r>
    </w:p>
    <w:p>
      <w:r>
        <w:t>IT: GE_GERICHTE ATAS/394/2021 del 29 aprile 2021</w:t>
      </w:r>
    </w:p>
    <w:p>
      <w:pPr>
        <w:pStyle w:val="Heading2"/>
      </w:pPr>
      <w:r>
        <w:t>Regeste</w:t>
      </w:r>
    </w:p>
    <w:p>
      <w:r>
        <w:t>Résumé: Applicabilité de la nouvelle jurisprudence du Tribunal fédéral, selon laquelle le caractère invalidant de syndromes de dépendance et de troubles liés à la consommation de substances doit être apprécié dans le cadre d'une procédure structurée d'administration des preuves à l'aide d'indicateurs, de la même manière qu’en cas d’autres atteintes à la santé psychique (ATF145 V 215), à une nouvelle demande de prestations d’invalidité d’un assuré qui s’est vu antérieurement refuser ces prestations par une décision entrée en force. Après un examen de la jurisprudence relative à l'éventuelle modification d'une décision entrée en force (avec des effets pour l'avenir) en cas de changement de jurisprudence, il y a lieu de retenir que l’ATF145 V 215a une telle portée générale que ne pas l’appliquer au recourant le discriminerait de manière choquante par rapport aux assurés dont la demande de prestations AI était en cours au moment de l’adoption de cette nouvelle jurisprudence ou qui ont déposé une demande après celle-ci ; une non-application, qui n’est soutenue par aucun intérêt public pertinent, ne serait pas compatible avec le principe de l’égalité de traitement. Au surplus, au regard des pièces du dossier, on ne peut pas d’emblée conclure au caractère superflu d’un examen des indicateurs standards pour le cas de l’intéressé, selon la jurisprudence. Il convient, partant, d’entrer en matière et d’examiner sa demande, d'une manière similaire à une entrée en matière dans le cadre d’un examen sous l’angle des art. 87 al. 2 et 3 RAI ainsi que, par analogie, de l'art. 17 LPGA.</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l'acte de recours, dans la mesure où il permet de comprendre que le recourant conclut principalement à l'annulation de la décision querellée en tant qu’elle refuse d’entrer en matière sur sa nouvelle demande de prestations AI (art. 89B al. 1 let. c de la loi sur la procédure administrative du 12 septembre 1985 [LPA - E 5 10]), est recevable (art. 56 ss LPGA et 62 ss LPA).</w:t>
      </w:r>
    </w:p>
    <w:p>
      <w:r>
        <w:rPr>
          <w:b/>
        </w:rPr>
        <w:t>E. 3</w:t>
      </w:r>
    </w:p>
    <w:p>
      <w:r>
        <w:t>L'objet du litige, déterminé par la décision du 1er juillet 2020 querellée, porte sur le point de savoir si l'intimé était en droit de refuser d'entrer en matière sur la demande de révision – ou nouvelle demande – déposée le 24 février 2020 par le recourant. Il ressort des écritures de l’intéressé que celui-ci ne sollicite pas une révision (art. 53 al.1 LPGA) ou une reconsidération (art. 53 al. 2 LPGA) de la décision passée en force de chose décidée rendue le 23 octobre 2008, sa nouvelle demande portant, implicitement, sur des prestations à lui octroyer au plus tôt dès la date</w:t>
      </w:r>
    </w:p>
    <w:p>
      <w:r>
        <w:t>A/2231/2020 - 8/20 - d’adoption de la nouvelle jurisprudence du Tribunal fédéral énoncée dans l’ATF 145 V 215.</w:t>
      </w:r>
    </w:p>
    <w:p>
      <w:r>
        <w:rPr>
          <w:b/>
        </w:rPr>
        <w:t>E. 4</w:t>
      </w:r>
    </w:p>
    <w:p>
      <w:r>
        <w:t>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w:t>
      </w:r>
    </w:p>
    <w:p>
      <w:r>
        <w:t>A/2231/2020 - 9/20 - Marco REICHMUTH, Bundesgesetz über die Invalidenversicherung [IVG], in STAUFFER/CARDINAUX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w:t>
      </w:r>
    </w:p>
    <w:p>
      <w:r>
        <w:t>A/2231/2020 - 10/20 -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w:t>
      </w:r>
    </w:p>
    <w:p>
      <w:r>
        <w:rPr>
          <w:b/>
        </w:rPr>
        <w:t>E. 5</w:t>
      </w:r>
    </w:p>
    <w:p>
      <w:r>
        <w:t>En l’espèce, le recourant n’a réagi ni à la demande du 2 mars 2020 de l’intimé qui lui impartissait un délai pour fournir tous les documents médicaux permettant de rendre plausible l'aggravation de son état de santé depuis le 23 octobre 2008, ni au projet de décision du 20 mai 2020. Il ne soutient pas, et il ne ressort pas non plus du dossier, qu’au moment du prononcé de la décision litigieuse, soit le 1er juillet 2020, il aurait rendu plausible une aggravation de son état de santé survenue depuis le 23 octobre 2008, date de la décision initiale au fond entrée en force. Sous ce seul angle, l’intimé a à juste titre refusé d’entrer en matière sur sa demande de révision du 24 février 2020. Il est au demeurant relevé que, dans son rapport du 23 juillet 2020, produit au stade de la procédure de recours, la Dresse E______ admet que la situation médicale du patient n’a pas changé de manière « essentielle » depuis le dernier refus.</w:t>
      </w:r>
    </w:p>
    <w:p>
      <w:r>
        <w:rPr>
          <w:b/>
        </w:rPr>
        <w:t>E. 6</w:t>
      </w:r>
    </w:p>
    <w:p>
      <w:r>
        <w:t>Cela étant, il ressort des écritures de recours de l’assuré qu’il fonde en réalité sa nouvelle demande du 24 février 2020 sur un changement de jurisprudence du Tribunal fédéral intervenu durant l’été 2019 relativement à la prise en compte de la toxicomanie en matière d’AI. De l’avis de l’office, le Tribunal fédéral a certes, le 11 juillet 2019 (ATF 145 V 215), modifié sa jurisprudence relative à l’appréciation du droit à des prestations de l’AI en cas de syndrome de dépendance. Cependant, d’après lui, cette nouvelle jurisprudence doit être appliquée à tous les cas pour lesquels la décision n’était pas encore entrée en force à la date du changement de pratique (cf. notamment arrêt du Tribunal fédéral 8C_259/2019 du 14 octobre 2019 consid. 5). En revanche, toujours selon l’intimé, la nouvelle jurisprudence ne constitue pas en soi un motif permettant de revenir sur une décision entrée en force, ni au titre d’une reconsidération au sens de l’art. 53 al. 2 LPGA, ni au titre de l’adaptation à une modification de la jurisprudence (cf. ATF 135 V 201).</w:t>
      </w:r>
    </w:p>
    <w:p>
      <w:r>
        <w:rPr>
          <w:b/>
        </w:rPr>
        <w:t>E. 6.4</w:t>
      </w:r>
    </w:p>
    <w:p>
      <w:r>
        <w:t>= RDAF 2010 I 375 [rés.]). f. S'agissant en particulier de la problématique des troubles somatoformes douloureux, le Tribunal fédéral a considéré que la précision de jurisprudence qui les concernait et qui énonçait des critère précis (ATF 130 V 352) ne saurait constituer un motif de reconsidération (au sens de l’art. 53 al. 2 LPGA) de la décision de rente (arrêt du Tribunal fédéral I 138/07 du 25 juin 2007 consid. 4, SVR 2008 IV n. 5 p. 12), pas plus qu'elle ne justifie, au titre d'une adaptation à un changement des fondements juridiques, de réduire ou de supprimer des rentes en cours, qui ont été allouées par le passé à des assurés souffrant de troubles somatoformes douloureux.</w:t>
      </w:r>
    </w:p>
    <w:p>
      <w:r>
        <w:t>A/2231/2020 - 15/20 - En effet, l'ATF 130 V 352 n'a pas modifié la situation juridique en ce sens qu'une rente aurait été d'emblée allouée par le passé en cas de diagnostic de troubles somatoformes douloureux, alors que cela serait désormais exclu. Le diagnostic de troubles somatoformes douloureux peut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œuvre de l'assurance conforme au droit et objectivement justifiable. Par ailleurs, on ne se trouve pas ici dans un cas où, sous l'angle du principe de l'égalité de traitement (art. 8 al. 1 Cst.), une adaptation par le juge s'impose en particulier lorsque les décisions fondées sur l'ancienne jurisprudence ne valent plus que pour un petit nombre d'assurés : au regard du fait que le diagnostic de « troubles somatoformes douloureux » a pris une nette importance depuis le début des années nonante,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l'ATF 130 V 352. Enfin, dans l'appréciation de l'exigibilité, il y aurait lieu de tenir compte de façon appropriée du fait que l'intéressé a bénéficié jusque-là d'une rente de manière conforme au droit et de la situation qui en est résultée. À cet égard, la doctrine exige que soit effectuée une soigneuse pesée des intérêts, sur la base de laquelle il y aurait lieu d'examiner si une adaptation dans le cas concret apparaît conforme au principe de la proportionnalité. La discussion porte donc sur l'appréciation d'un grand nombre de cas, qui supposent un examen étendu et dont le résultat est incertain. Dans ces circonstances, les conditions strictes, exposées plus haut, de l'application par le juge d'un changement de jurisprudence à des prestations en cours qui ont fait l'objet d'une décision entrée en force ne sont pas réalisées (ATF 135 V 215 consid. 6 et les références citées, dont le consid. 7 a de surcroît retenu que l'art. 7 al. 2 LPGA, entré en vigueur le 1er janvier 2008, ne correspond pas à une modification du droit en tant que telle, mais à l'inscription dans la loi de la jurisprudence dégagée jusqu'alors sur la notion d'invalidité, de sorte qu’il ne peut pas être considéré comme un fondement légal pour modifier des rentes qui ont fait l'objet d'une décision entrée en force ; ATF 135 V 201 consid. 7 = RDAF 2010 I 375 ; arrêt du Tribunal fédéral 9C_675/2008 du 12 mai 2009 consid. 5.3 ; ATAS/757/2015 du 12 octobre 2015 consid. 7c ; Michel VALTERIO, op. cit., n. 67 ad art. 31 LAI ; Ulrich MEYER/Marco REICHMUTH, op. cit., n. 68 ad art. 30-31 LAI). La nouvelle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n’a pas non plus été considérée par le Tribunal fédéral comme justifiant des révisions – à la</w:t>
      </w:r>
    </w:p>
    <w:p>
      <w:r>
        <w:t>A/2231/2020 - 16/20 - demande d’assurés – de décisions entrées en force qui leur avaient refusé des prestations. En effet, la jurisprudence créée par l’ATF 130 V 352 pouvait conduire tout autant à l’approbation qu’à la négation du caractère invalidant d’un trouble somatoforme douloureux persistant ou d’un « tableau » douloureux équivalent, et ceci vaut aussi dans le cadre de la nouvelle jurisprudence introduite par l’ATF 141 V 281. Cette dernière jurisprudence n’entraîne pas une modification des conditions pour les demandes de prestations, mais met en place une nouvelle procédure structurée d'administration des preuves à l'aide d'indicateurs, sans augmenter a priori les chances d’obtenir des prestations. Les refus de rentes prononcés sous l’ancienne pratique (ATF 130 V 352) n’apparaissent pas, à l’aune de cette nouvelle jurisprudence (ATF 141 V 281) et à l’aune de l’art. 7 al. 2 LPGA, comme contraires au droit, inappropriés ou simplement injustifiables. Partant, il n’y a pas lieu de s’écarter du principe de non-application d'un changement de jurisprudence tel qu'exposé plus haut, des motifs importants conduisant à une autre conclusion n’étant ni invoqués ni visibles (ATF 141 V 585 consid. 5.3). Il est rappelé que cette nouvelle jurisprudence développée pour les troubles somatoformes douloureux (ATF 141 V 281) s’est ultérieurement étendue à toutes les maladies psychiques (ATF 143 V 409 consid. 4.5 ; ATF 143 V 418 consid. 6, 7 et 8). g. La nouvelle jurisprudence introduite le 11 juillet 2019 par l’ATF 145 V 215 concernant les syndromes de dépendance et les troubles liés à la consommation de substances s’applique immédiatement et vaut pour les cas futurs, ainsi que pour les affaires pendantes devant un tribunal au moment de l’adoption de la modification jurisprudentielle (ex nunc et pro futuro ; ATF 140 V 154 consid. 6.3.2 ; arrêt du Tribunal fédéral 8C_259/2019 précité consid. 5.1 ; ATAS/773/2019 précité consid. 10c). Tant que la décision initiale de l’OAI querellée n’est pas entrée en force, la modification de jurisprudence du 11 juillet 2019 (ATF 145 V 215) doit être prise en considération pour résoudre le litige (ATAS/1036/2019 du 12 novembre 2019 consid. 17). Ceci vaut également lorsque l’office est entré en matière sur une nouvelle demande de prestations AI, mais l’a rejetée, sous l’angle de l’art. 17 al. 1 LPGA, puisque ladite autorité doit examiner l’affaire quant au fond (arrêt du Tribunal fédéral 8C_259/2019 précité ; ATAS/1183/2019 du 5 décembre 2019 consid. 14). En effet, une administration ne saurait limiter son examen à la question de savoir si un changement important susceptible d’influencer le degré d’invalidité s’est produit, lorsqu’elle entre en matière sur une nouvelle demande au sens de l’art. 87 al. 3 (et ancien al. 4) RAI, étant donné que, se saisissant du fond d’une nouvelle demande, elle doit en instruire tous les aspects (médicaux et juridiques, notamment) et déterminer si la modification de l’invalidité s’est effectivement produite, comme si elle se prononçait pour la première fois sur le droit aux prestations (ATF 117 V 198 consid. 3 et 4; arrêt du Tribunal fédéral</w:t>
      </w:r>
    </w:p>
    <w:p>
      <w:r>
        <w:t>A/2231/2020 - 17/20 - 9C_142/2012 du 9 juillet 2012 consid. 4 ; Michel VALTERIO, op. cit., n. 31 ad art. 31 LAI).</w:t>
      </w:r>
    </w:p>
    <w:p>
      <w:r>
        <w:rPr>
          <w:b/>
        </w:rPr>
        <w:t>E. 7</w:t>
      </w:r>
    </w:p>
    <w:p>
      <w:r>
        <w:t>Selon l’ancienne jurisprudence constante du Tribunal fédéral, une dépendance comme l’alcoolisme, la pharmacodépendance ou la toxicomanie ne constituait pas en soi une invalidité au sens de la loi. En revanche, elle jouait un rôle dans l’AI lorsqu’elle avait provoqué une atteinte à la santé physique ou mentale qui nuisait à la capacité de gain de l’assuré, ou si elle résultait elle-même d’une atteinte à la santé physique ou mentale qui avait valeur de maladie (ATF 124 V 265 consid. 3c ; ATF 99 V 28 consid. 2; VSI 2002 p. 32 consid. 2a, 1996 p. 319 consid. 2a). Dans son arrêt du 11 juillet 2019 précité, le Tribunal fédéral a expliqué que cette</w:t>
      </w:r>
    </w:p>
    <w:p>
      <w:r>
        <w:t>A/2231/2020 - 11/20 -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(ATF 145 V 215 consid. 4.2). Dans cet arrêt, le Tribunal fédéral a modifié sa jurisprudence en ce sens que les syndromes de dépendance (« Abhängigkeitssyndromen ») et les troubles liés à la consommation de substances (« Substanzkonsumstörungen »), diagnostiqués en bonne et due forme, ne sauraient se voir dénier d’emblée toute pertinence sous l’angle de l’AI, mais doivent être considérés comme d’autres atteintes à la santé psychique pouvant entraîner une invalidité (ATF 145 V 215 consid. 5.3.3 et 6 ; aussi ATAS/773/2019 du 2 septembre 2019 consid. 10b).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ATF 145 V 215 consid. 6.1 et la référence à l’ATF 143 V 409 consid. 4.2.1). Dans ledit ATF 143 V 409, le Tribunal fédéral avait modifié sa pratique en cas de troubles psychiques comme suit : la jurisprudence développée pour les troubles somatoformes douloureux, selon laquelle il y avait lieu d'examiner la capacité de travail et la capacité fonctionnelle de la personne concernée dans le cadre d'une procédure structurée d'administration des preuves à l'aide d'indicateurs (ATF 141 V 281), s'appliquait dorénavant à toutes les maladies psychiques, y compris troubles dépressifs de degré léger ou moyen (ATF 143 V 409 consid. 4.5 ; ATF 143 V 418 consid. 6, 7 et 8).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(ATF 145 V 215 consid. 7 et 8.1 ; aussi ATAS/773/2019 précité consid. 10b).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145 V 215 consid. 7 ; ATF 143 V 409 consid. 4.5.3 ; arrêt du Tribunal fédéral 9C_14/2018 du 12 mars 2018 consid 2.1).</w:t>
      </w:r>
    </w:p>
    <w:p>
      <w:r>
        <w:rPr>
          <w:b/>
        </w:rPr>
        <w:t>E. 8</w:t>
      </w:r>
    </w:p>
    <w:p>
      <w:r>
        <w:t>a. En droit des assurances sociales, les décisions de prestations, assorties d'effets durables, initialement non erronées doivent en règle générale être adaptées aux modifications du droit qui résultent d'une intervention du législateur – lois et ordonnances (Thomas FLÜCKIGER, in Basler Kommentar, 2020, n. 11 ad art. 17 LPGA) –, sous réserve de dispositions de droit transitoires contraires et, le cas échéant, des droits acquis (ATF 135 V 215 consid. 5.1.1 ; ATF 135 V 201</w:t>
      </w:r>
    </w:p>
    <w:p>
      <w:r>
        <w:t>A/2231/2020 - 12/20 - consid. 6.1.1 = RDAF 2010 I 375 [rés.] ; ATF 121 V 157 consid. 4a ; aussi, par exemple, pour le « réexamen des rentes octroyées en raison d’un syndrome sans pathogenèse ni étiologie claire et sans constat de déficit organique », la let. a des dispositions finales de la modification du 18 mars 2011 [6ème révision de l’AI, premier volet], en vigueur depuis le 1er janvier 2012). b. En revanche, un changement dans la pratique judiciaire ou administrative ne conduit en principe pas à modifier des prestations périodiques fondées sur une décision (assortie d'effets durables) entrée en force formelle (ATF 135 V 215 consid. 5.1.1 ; ATF 135 V 201 consid. 6.1.1 = RDAF 2010 I 375 [rés.] ; ATF 129 V 200 consid. 1.2 ; ATF 121 V 157 consid. 4a ; ATF 112 V 371 consid. 2b ; arrêt du Tribunal fédéral 9C_439/2007 du 28 février 2008 consid. 3.2 in fine).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(ATF 141 V 585 consid. 5.2 ; ATF 135 V 215 consid. 5.1.1 ; ATF 135 V 201 consid. 6.1.1 = RDAF 2010 I 375 [rés.] ; ATF 129 V 200 consid. 1.2 ; ATF 121 V 157 consid. 4a ; ATF 112 V 387 consid. 3c ; arrêt du Tribunal fédéral des assurances C 222/99 du 23 octobre 2000 consid. 3b, SVR 2001 ALV n. 4 p. 10), cette pratique restrictive valant en tout cas lorsque l’application d’une jurisprudence nouvelle s’opérerait au détriment du justiciable (ATF 120 V 128 consid. 3c ; ATF 119 V 410 consid. 3b).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(art. 8 al. 1 Cst. ; ATF 141 V 585 consid. 5.2 ; ATF 135 V 215 consid. 5.1.1 ; ATF 135 V 201 consid. 6.1.1 = RDAF 2010 I 375 [rés.] ; arrêt du Tribunal fédéral des assurances I 382/94 consid. 4a, SVR 1995 IV n. 60 p. 171 ; Michel VALTERIO, Commentaire de la loi fédérale sur l’assurance-invalidité [LAI], 2018, n. 67 ad art. 31 LAI ; Ulrich MEYER/Marco REICHMUTH, op. cit., n. 66 ad art. 30-31 LAI). c. En application des principes exposés, le Tribunal fédéral des assurances a, à diverses reprises, admis qu'une décision de prestations, assortie d'effets durables, entrée en force soit adaptée à un changement de jurisprudence ou de la pratique administrative intervenu entre-temps et plus favorable pour l'intéressé (ATF 135 V 215 consid. 5.1.2.1). Ainsi, il a jugé qu'une rente d'invalidité de l'assurance-militaire fixée selon une jurisprudence antérieure devait être adaptée à la modification de la jurisprudence</w:t>
      </w:r>
    </w:p>
    <w:p>
      <w:r>
        <w:t>A/2231/2020 - 13/20 - intervenue en 1984, laquelle a reconnu l'indemnisation cumulative de l'incapacité de gain et de l'atteinte à l'intégrité ; la solution contraire entraînait des inégalités manifestes (ATF 121 V 157 consid. 4c). L'application d'une nouvelle pratique administrative de l’administration fédérale – étendant la qualification de salaire à l’indemnité de licenciement –, qui permettait dans certains cas d'ouvrir le droit à des indemnités de l'assurance-chômage, non reconnu jusqu'alors, dans des situations qui avaient déjà fait l'objet de décisions entrées en force défavorables, a également été admise – avec effet dès l’entrée en vigueur fixée par la directive administrative en cause –, la Haute Cour faisant ici exceptionnellement primer le principe de l’égalité de traitement sur le principe de la légalité malgré l’illicéité de ladite nouvelle pratique administrative (arrêt du Tribunal fédéral des assurances C 222/99 précité consid. 4, SVR 2001 IV n. 4 p. 9 ; aussi ATF 120 V 128). Le Tribunal fédéral des assurances en a jugé de même en ce qui concerne l'application directe - d'abord niée, puis reconnue ultérieurement (ATF 119 V 171) - des dispositions de droit international admettant de manière limitée la réduction des prestations pour faute (ATF 120 V 128 consid. 4 ; ATF 119 V 410 consid. 3c ; arrêt du Tribunal fédéral des assurances I 382/94 consid. 4, SVR 1995 IV n. 60 p. 171). En défaveur de l'assuré en cause, le Tribunal fédéral des assurances a, entre autres, confirmé l'adaptation d'une rente pour atteinte à l'intégrité, dont le calcul reposait encore sur une jurisprudence antérieure, considérée comme erronée par les ATFA 1966 p. 148 et 1968 p. 88, aux nouvelles bases de calcul déterminantes (ATF 135 V 215 consid. 5.1.2.2 ; ATF 112 V 387 consid. 3c, confirmé par l'ATF 115 V 308). d. En résumé, la jurisprudence n'a guère admis d'exceptions au principe selon lequel un changement de jurisprudence ne justifie pas de modifier des décisions de prestations assorties d'effets durables lorsque l'application de la nouvelle jurisprudence s'opère au détriment des assurés (ATF 141 V 585 consid. 5.2 ; ATF 135 V 215 consid. 5.1.3 ; ATF 135 V 201 consid. 6.1.3 = RDAF 2010 I 375 [rés.]). Dans les cas où une telle adaptation (dans le sens d'une réduction) a été admise (ATF 112 V 387 confirmé par l'ATF 115 V 308), le Tribunal fédéral des assurances a précisé qu'il s'agissait d'une situation exceptionnelle - au regard des critères étrangers à l'affaire sur lesquels se fondait la jurisprudence antérieure -, laquelle exigeait une solution particulière (ATF 115 V 308 consid. 4b ; cf. aussi ATF 121 V 157 consid. 4b p. 162). En faveur des assurés, le Tribunal fédéral des assurances a en revanche admis une adaptation à des conditions moins strictes, dans des cas particuliers (ATF 141 V 585 consid. 5.2 ; ATF 135 V 215 consid. 5.1.3 ; ATF 135 V 201 consid. 6.1.3 = RDAF 2010 I 375 [rés.] ; ATF 107 V 153 consid. 3 ; arrêt du Tribunal fédéral des assurances C 222/99 précité consid. 3b, SVR 2001 ALV n. 4 p. 9). e. Les aspects liés à la sécurité du droit et - en cas d'adaptation au détriment de l'assuré - à la confiance dans le maintien de prestations étatiques une fois accordées peuvent entrer en conflit avec l'intérêt public à une mise en œuvre de l'assurance</w:t>
      </w:r>
    </w:p>
    <w:p>
      <w:r>
        <w:t>A/2231/2020 - 14/20 - conforme au droit et objectivement justifiable. La résolution de ce conflit passe par une pesée des intérêts concernés qui comprend un jugement de valeurs. En fin de compte, la jurisprudence en matière de droit des assurances sociales repose donc aussi sur une pesée des intérêts. Dès lors que dans le droit des assurances sociales, un changement de jurisprudence concerne souvent un grand nombre de cas, qui présentent en règle générale une constellation semblable en ce qui concerne les conditions du droit aux prestations, le principe de l'égalité de traitement des personnes touchées par une éventuelle adaptation des rentes revêt une importance considérable. De ce point de vue, il n'apparaît pas justifié de tenir compte dans chaque cas particulier des effets individuels et concrets d'une adaptation. Ainsi, on ne voit pas d'emblée pour quelle raison un assuré, qui, confiant dans le fait que la rente est en cours, a loué un appartement plus cher, ne devrait pas voir ses prestations réduites, contrairement à un assuré plus économe. La constellation de départ « typique » dans le droit des assurances sociales requiert au contraire une solution uniforme pour l'ensemble des personnes concernées. À cet égard, en cas de suppression ou de réduction de rentes, où en plus de l'aspect de la sécurité du droit, celui de la confiance suscitée joue également un rôle, les éléments qui parlent en faveur du maintien de la prestation prennent en règle générale le pas sur l'égalité de traitement entre les bénéficiaires d'une rente et les personnes qui viennent juste de requérir une telle prestation. Pour justifier une adaptation de la jurisprudence modifiée à une décision de prestations, assortie d'effets durables, entrée en force, en plus de la portée générale de cette jurisprudence nouvelle (qui ne suffit à elle seule pas), des éléments qualifiés doivent être réunis qui laisseraient apparaître la non-application du changement de la pratique judiciaire à des prestations en cours comme incompatible avec le principe de l'égalité de traitement. Un tel élément existe lorsque l'ancienne jurisprudence ne trouve application qu'à un petit nombre de personnes concernées, de sorte qu'elles apparaissent privilégiées (ou discriminées), de même que si l'octroi de la prestation ne peut simplement plus être justifié du point de vue de la nouvelle jurisprudence. Dans son résultat, cette jurisprudence correspond dans une large mesure à celle des Cours de droit public du Tribunal fédéral, laquelle n'admet une intervention dans un rapport de droit durable en raison d'un changement de jurisprudence que si des intérêts publics prépondérants sont concernés (ATF 141 V 585 consid. 5.2 ; ATF 135 V 215 consid. 5.2, 5.3 et 5.4 et les références citées ; ATF 135 V 201 consid. 6.2, 6.3 et</w:t>
      </w:r>
    </w:p>
    <w:p>
      <w:r>
        <w:rPr>
          <w:b/>
        </w:rPr>
        <w:t>E. 9</w:t>
      </w:r>
    </w:p>
    <w:p>
      <w:r>
        <w:t>a. Dans le cas présent, à la date du prononcé le 11 juillet 2019 de l’ATF 145 V 215, modifiant la jurisprudence du Tribunal fédéral afférente aux syndromes de dépendance et aux troubles liés à la consommation de substances, le recourant faisait l’objet d’une décision de refus de toutes prestations AI rendue le 23 octobre 2008 par l’intimé et entrée en force. La question de savoir si ce changement de jurisprudence peut être appliqué, ex nunc et pro futuro, à des assurés atteints de syndromes de dépendance et de troubles liés à la consommation de substances malgré des décisions de refus entrées en force antérieures audit 11 juillet 2019 n’a, à la connaissance de la chambre de céans, pas encore été tranchée. b. Tout d’abord, la présente situation se distingue en grande partie de celle faisant l’objet de l’abondante jurisprudence citée plus haut (en particulier ATF 141 V 585 consid. 5.2 ; ATF 135 V 215 ; ATF 135 V 201 = RDAF 2010 I 375 [rés.]) concernant la réduction ou la suppression de prestations durables octroyées à des assurés par une décision entrée en force, suite à une nouvelle jurisprudence. Contrairement à cette dernière situation, on se trouve en l’espèce dans un cas où le changement de jurisprudence est potentiellement favorable à un nombre non négligeable d’assurés qui, à l’instar de l’intéressé, souffrent de syndromes de dépendance et de troubles liés à la consommation de substances et qui, comme lui, se sont vu refuser toute prestation AI au motif que ceux-ci étaient primaires et non pas secondaires à d’autres affections. Certes, le recourant se trouve dans une situation où l’application de la nouvelle jurisprudence (ATF 145 V 215) pourrait conduire tout autant à l’approbation qu’à la négation du caractère invalidant des troubles invoqués, comme tel était le cas, de manière similaire, pour les assurés qui avaient fait l’objet d’une décision de refus de toutes prestations fondée sur l’ATF 130 V 352 et qui en sollicitaient la révision afin que soient appliqués à leur situation les critères (indicateurs) de l’ATF 141 V 281 (ATF 141 V 585). Toutefois, la situation initiale de l’intéressé diffère de celle des assurés concernés par l’ATF 141 V 585, dans la mesure où les syndromes de dépendance et troubles liés à la consommation de substances dont il souffre ont initialement été qualifiés de primaires (et non secondaires) et, partant, ont été exclus de toute évaluation allant au-delà de cette qualification et donc de toute possibilité d’obtenir de quelconques prestations de l’AI. Ainsi, à la différence des personnes concernées par l’ATF 141 V 585, l’application de la nouvelle jurisprudence de l’ATF 145 V 215 représenterait pour l’assuré une nette amélioration de ses chances d’obtenir des prestations de l’AI par rapport à sa situation initiale. Elle exigerait en particulier un examen approfondi de sa situation, notamment médicale, à l’aune de la procédure structurée d’administration des preuves à l’aide d’indicateurs utilisée initialement pour les troubles somatoformes douloureux (ATF 141 V 218), qui pourrait seulement conduire soit au statu quo, soit à l’octroi de mesures</w:t>
      </w:r>
    </w:p>
    <w:p>
      <w:r>
        <w:t>A/2231/2020 - 18/20 - professionnelles ou d’une rente d’invalidité, qu’elle soit entière ou partielle (art. 28 al. 2 LAI), sans que le caractère primaire ou secondaire de ses troubles puisse être pertinent, ce alors qu’une telle procédure d’évaluation et toute possibilité d’obtenir des prestations étaient jusqu’alors exclues pour lui. Le recourant se trouve à cet égard dans le cas présent dans une situation proche de celle où est adoptée une disposition légale octroyant des prestations à des personnes qui n’en bénéficiaient pas auparavant, par exemple par une modification en leur faveur des conditions d’octroi. Ensuite, le principe de l’égalité de traitement tend à ce que les personnes assurées qui font l’objet d’une décision de refus entrée en force rendue avant la modification de jurisprudence (ATF 145 V 215) soient traitées de manière similaire par rapport à celles dont la demande de prestations AI était en cours au moment de l’adoption de cette nouvelle jurisprudence ou qui ont déposé une demande après celle-ci. La présente situation est proche de celle des cas cités plus haut où le Tribunal fédéral des assurances a admis l’application de changements de jurisprudence ou de pratique administrative en faveur d’assurés, dont les conditions sont moins restrictives qu’en cas de modification défavorable à ceux-ci. Par ailleurs, l’intérêt public à l’application conforme du droit ne s’oppose aucunement à une application de la nouvelle jurisprudence introduite par l’ATF 145 V 215 aux assurés qui ont fait l’objet d’une décision de refus entrée force rendue avant ladite modification jurisprudentielle et dont les syndromes de dépendance et troubles liés à la consommation de substances ont été qualifiés de primaires et donc exclus de toute évaluation allant au-delà de cette qualification, mais est au contraire en faveur d’une telle application. D’autres éventuels intérêts publics, visant par exemple à limiter les coûts de l’AI, ne seraient pas d’un poids suffisant pour s’y opposer. À cet égard, la question de savoir si les personnes concernées sont ou non nombreuses importe peu. Au surplus, le principe de la confiance ne serait aucunement heurté en cas d’application immédiate de cette nouvelle jurisprudence, la sécurité du droit non plus du reste, s’agissant de l’éventuel octroi ex nunc et pro futuro de prestations AI à des assurés qui n’en recevaient jusqu’à présent aucune. Vu ce qui précède, il y a lieu de retenir que l’ATF 145 V 215 a une telle portée générale que ne pas l’appliquer au recourant le discriminerait de manière choquante par rapport aux assurés dont la demande de prestations AI était en cours au moment de l’adoption de cette nouvelle jurisprudence ou qui ont déposé une demande après celle-ci. Une telle solution, qui n’est soutenue par aucun intérêt public pertinent, ne serait pas compatible avec le principe de l’égalité de traitement, tant on voit mal ce qui justifierait une telle différence de traitement, et compte tenu de surcroît de la grande importance que pourrait représenter pour l’intéressé l’octroi éventuel de prestations AI. c. Au surplus, au regard des pièces du dossier, notamment d’avis de spécialistes ainsi que du rapport d’expertise de la Dresse D______, on ne peut pas d’emblée</w:t>
      </w:r>
    </w:p>
    <w:p>
      <w:r>
        <w:t>A/2231/2020 - 19/20 - conclure au caractère superflu d’un examen des indicateurs standards pour le cas de l’intéressé, selon la jurisprudence citée plus haut. d. Partant, le changement de jurisprudence susmentionné doit s’appliquer à l’assuré, par une entrée en matière sur sa demande de prestations AI déposée le 24 février 2020 et par un traitement de cette demande, d’une manière similaire à celle d’une entrée en matière dans le cadre d’un examen sous l’angle des art. 87 al. 2 et 3 RAI ainsi que, par analogie, 17 LPGA.</w:t>
      </w:r>
    </w:p>
    <w:p>
      <w:r>
        <w:rPr>
          <w:b/>
        </w:rPr>
        <w:t>E. 10</w:t>
      </w:r>
    </w:p>
    <w:p>
      <w:r>
        <w:t>En conséquence, le recours sera admis, la décision querellée annulée et la cause renvoyée à l’intimé pour entrée en matière sur la demande de prestations AI déposée le 24 février 2020 par le recourant, instruction et nouvelle décision, dans le sens des considérants.</w:t>
      </w:r>
    </w:p>
    <w:p>
      <w:r>
        <w:rPr>
          <w:b/>
        </w:rPr>
        <w:t>E. 11</w:t>
      </w:r>
    </w:p>
    <w:p>
      <w:r>
        <w:t>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w:t>
      </w:r>
    </w:p>
    <w:p>
      <w:r>
        <w:rPr>
          <w:b/>
        </w:rPr>
        <w:t>E. 12</w:t>
      </w:r>
    </w:p>
    <w:p>
      <w:r>
        <w:t>Un émolument de CHF 200.- sera mis à la charge de l'intimé (art. 69 al. 1bis LAI).</w:t>
      </w:r>
    </w:p>
    <w:p>
      <w:r>
        <w:t>******</w:t>
      </w:r>
    </w:p>
    <w:p>
      <w:r>
        <w:t>A/2231/2020 - 20/20 - PAR CES MOTIFS, LA CHAMBRE DES ASSURANCES SOCIALES : Statuant Conformément à l'art. 133 al. 2 de la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