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ATAS/394/2018 vom 9. Mai 2018</w:t>
      </w:r>
    </w:p>
    <w:p>
      <w:r>
        <w:t>GE Cour de justice, 2018-05-09, FR</w:t>
      </w:r>
    </w:p>
    <w:p>
      <w:r>
        <w:rPr>
          <w:b/>
        </w:rPr>
        <w:t xml:space="preserve">Quelle: </w:t>
      </w:r>
      <w:r>
        <w:t>https://mcp.opencaselaw.ch/entscheid/ge_gerichte_ATAS_394_2018</w:t>
      </w:r>
    </w:p>
    <w:p>
      <w:r>
        <w:t>FR: GE_GERICHTE ATAS/394/2018 du 9 mai 2018</w:t>
      </w:r>
    </w:p>
    <w:p>
      <w:r>
        <w:t>IT: GE_GERICHTE ATAS/394/2018 del 9 maggio 2018</w:t>
      </w:r>
    </w:p>
    <w:p>
      <w:pPr>
        <w:pStyle w:val="Heading2"/>
      </w:pPr>
      <w:r>
        <w:t>Erwägungen</w:t>
      </w:r>
    </w:p>
    <w:p>
      <w:r>
        <w:rPr>
          <w:b/>
        </w:rPr>
        <w:t>E. 1</w:t>
      </w:r>
    </w:p>
    <w:p>
      <w:r>
        <w:t>a.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w:t>
      </w:r>
    </w:p>
    <w:p>
      <w:r>
        <w:t>A/3878/2017 - 6/11 -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En l’espèce, la société était domiciliée dans le canton de Genève de sorte que la chambre de céans est compétente ratione materiae et loci pour juger du cas d’espèce.</w:t>
      </w:r>
    </w:p>
    <w:p>
      <w:r>
        <w:rPr>
          <w:b/>
        </w:rPr>
        <w:t>E. 2</w:t>
      </w:r>
    </w:p>
    <w:p>
      <w:r>
        <w:t>Interjeté dans les formes et délai prévus par la loi, le recours est recevable (art. 38 et 56 à 61 LPGA).</w:t>
      </w:r>
    </w:p>
    <w:p>
      <w:r>
        <w:rPr>
          <w:b/>
        </w:rPr>
        <w:t>E. 3</w:t>
      </w:r>
    </w:p>
    <w:p>
      <w:r>
        <w:t>Le litige porte sur la responsabilité du recourant dans le préjudice causé à l’intimée, par le défaut de paiement des cotisations sociales de juillet à novembre 2011 et de janvier à mars 2012.</w:t>
      </w:r>
    </w:p>
    <w:p>
      <w:r>
        <w:rPr>
          <w:b/>
        </w:rPr>
        <w:t>E. 4</w:t>
      </w:r>
    </w:p>
    <w:p>
      <w:r>
        <w:t>a. L'art. 14 al. 1 LAVS en corrélation avec les art. 34 et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w:t>
      </w:r>
    </w:p>
    <w:p>
      <w:r>
        <w:rPr>
          <w:b/>
        </w:rPr>
        <w:t>E. 5</w:t>
      </w:r>
    </w:p>
    <w:p>
      <w:r>
        <w:t>À titre liminaire, il convient d’examiner si la prétention de la caisse est prescrite.</w:t>
      </w:r>
    </w:p>
    <w:p>
      <w:r>
        <w:t>A/3878/2017 - 7/11 - a. Les délais prévus par l’art. 52 al. 3 LAVS doivent être qualifiés de délais de prescription, non de péremption, comme cela ressort du texte légal et des travaux préparatoires de la LPGA (SVR 2005 AHV n° 15 p. 49 consid. 5.1.2; FF 1994 V 964;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 Le dommage survient dès que l'on doit admettre que les cotisations dues ne peuvent plus être recouvrées, pour des motifs juridiques ou de fait (ATF 129 V 193 consid. 2.2). Il faut entendre par moment de la « connaissance du dommage », en règle générale, celui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2.1 et 2.3). Le juge ne peut interrompre la prescription que par une ordonnance ou une décision, « chaque acte judiciaire des parties »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b. En l’espèce, la caisse a eu connaissance du dommage par la publication de la suspension de la liquidation de la faillite faute d’actifs le 28 janvier 2014. En</w:t>
      </w:r>
    </w:p>
    <w:p>
      <w:r>
        <w:t>A/3878/2017 - 8/11 - demandant au recourant le 20 août 2015 la réparation de ce dommage, elle a agi en temps utile, soit pendant les délais de deux et cinq ans prescrits par l’art. 52 al. 3 LAVS. Par la suite, ledit délai a été interrompu et un nouveau délai de même durée a commencé à courir le 28 août 2015 (opposition de l’administrateur), 16 août 2017 (décision sur opposition) et 18 septembre 2017 (recours de l’administrateur), et depuis lors, par chaque acte judiciaire des parties de sorte qu’à ce jour, la prescription n’est pas acquise.</w:t>
      </w:r>
    </w:p>
    <w:p>
      <w:r>
        <w:rPr>
          <w:b/>
        </w:rPr>
        <w:t>E. 6</w:t>
      </w:r>
    </w:p>
    <w:p>
      <w:r>
        <w:t>a. Le caractère subsidiaire de la responsabilité des organes d'une personne morale signifie que la caisse de compensation doit d'abord agir contre le débiteur des cotisations (employeur). Ce n'est que lorsque celui-ci n'est plus à même de remplir ses obligations que la caisse est fondée à agir contre les organes responsables, autrement dit en cas d'insolvabilité de l'employeur (ATF 123 V 12 consid. 5b).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9C_926/2009 du 27 avril 2010 consid. 4.3.1). b. En l’espèce, le recourant était inscrit au registre du commerce, en qualité d’administrateur avec signature individuelle du 27 septembre 2011 au 23 avril 2012. Il était ainsi un organe formel de la société et il doit répondre du dommage subi par la caisse – pour autant que les autres conditions soient remplies – indépendamment de sa fonction effective, de son influence sur la volonté de la société, de son pouvoir de signature et de la raison pour laquelle il a accepté le mandat.</w:t>
      </w:r>
    </w:p>
    <w:p>
      <w:r>
        <w:rPr>
          <w:b/>
        </w:rPr>
        <w:t>E. 7</w:t>
      </w:r>
    </w:p>
    <w:p>
      <w:r>
        <w:t>a.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w:t>
      </w:r>
    </w:p>
    <w:p>
      <w:r>
        <w:t>A/3878/2017 - 9/11 - 189).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arrêts du Tribunal fédéral des assurances H 87/04 du 22 juin 2005 consid. 5.2.2 et H 234/00 du 27 avril 2001 consid. 5d).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w:t>
      </w:r>
    </w:p>
    <w:p>
      <w:r>
        <w:t>A/3878/2017 - 10/11 - reçoivent plus de rémunération pour leur mandat d'administrateur (ATF 126 V 61 consid. 4a). b. En l’espèce, le recourant a manifestement accepté sans trop se poser de questions le mandat d'administrateur qui lui était proposé par M. C______ sans avoir obtenu d'informations sur la société. S'il n'arrivait plus à contacter M. C______ et n'avait pas la possibilité d'exercer son devoir de surveillance, il devait démissionner de ses fonctions sans délai, or il a attendu près de sept mois avant de le faire, sans alléguer de fait justifiant un tel délai. Il n'a pas produit de pièces démontrant des démarches effectives entamées dans le but d'exercer son mandat. Il ne s'est, selon ses dires, même pas rendu au siège de la société. Il a ainsi commis une négligence grave selon la jurisprudence précitée.</w:t>
      </w:r>
    </w:p>
    <w:p>
      <w:r>
        <w:rPr>
          <w:b/>
        </w:rPr>
        <w:t>E. 8</w:t>
      </w:r>
    </w:p>
    <w:p>
      <w:r>
        <w:t>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b. En l’espèce, l’attitude passive du recourant est en relation de causalité naturelle et adéquate avec le dommage subi par la caisse. En effet, en acceptant légèrement le mandat d'administrateur sans s'assurer d'avoir les moyens de l'exercer correctement et en ne démissionnant pas pendant plusieurs mois, il a contribué à l'augmentation du dommage de la caisse.</w:t>
      </w:r>
    </w:p>
    <w:p>
      <w:r>
        <w:rPr>
          <w:b/>
        </w:rPr>
        <w:t>E. 9</w:t>
      </w:r>
    </w:p>
    <w:p>
      <w:r>
        <w:t>Le recourant n'a pas contesté les chiffres articulés dans la décision sur opposition et ceux-ci apparaissent fondés à teneur des pièces du dossier.</w:t>
      </w:r>
    </w:p>
    <w:p>
      <w:r>
        <w:rPr>
          <w:b/>
        </w:rPr>
        <w:t>E. 10</w:t>
      </w:r>
    </w:p>
    <w:p>
      <w:r>
        <w:t>Au vu des considérations qui précèdent, c'est à juste titre que l’intimée a réclamé au recourant la réparation du dommage à hauteur de CHF 24'669.45. Sa décision sur opposition était ainsi bien-fondée.</w:t>
      </w:r>
    </w:p>
    <w:p>
      <w:r>
        <w:rPr>
          <w:b/>
        </w:rPr>
        <w:t>E. 11</w:t>
      </w:r>
    </w:p>
    <w:p>
      <w:r>
        <w:t>En conséquence, le recours doit être rejeté.</w:t>
      </w:r>
    </w:p>
    <w:p>
      <w:r>
        <w:rPr>
          <w:b/>
        </w:rPr>
        <w:t>E. 12</w:t>
      </w:r>
    </w:p>
    <w:p>
      <w:r>
        <w:t>La procédure est gratuite (art. 61 let. a LPGA).</w:t>
      </w:r>
    </w:p>
    <w:p>
      <w:r>
        <w:t>A/3878/2017 - 11/11 -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