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ATAS/394/2016 vom 17. Mai 2016</w:t>
      </w:r>
    </w:p>
    <w:p>
      <w:r>
        <w:t>GE Cour de justice, 2016-05-17, FR</w:t>
      </w:r>
    </w:p>
    <w:p>
      <w:r>
        <w:rPr>
          <w:b/>
        </w:rPr>
        <w:t xml:space="preserve">Quelle: </w:t>
      </w:r>
      <w:r>
        <w:t>https://mcp.opencaselaw.ch/entscheid/ge_gerichte_ATAS_394_2016</w:t>
      </w:r>
    </w:p>
    <w:p>
      <w:r>
        <w:t>FR: GE_GERICHTE ATAS/394/2016 du 17 mai 2016</w:t>
      </w:r>
    </w:p>
    <w:p>
      <w:r>
        <w:t>IT: GE_GERICHTE ATAS/394/2016 del 17 maggio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des prestations de l’intimée depuis le 22 juillet 2014.</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w:t>
      </w:r>
    </w:p>
    <w:p>
      <w:r>
        <w:t>A/256/2015 - 14/24 -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7</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w:t>
      </w:r>
    </w:p>
    <w:p>
      <w:r>
        <w:t>A/256/2015 - 15/24 - maladif préexistant, dans la mesure où il a été causé ou aggravé par l'accident (arrêts du Tribunal fédéral 8C_1003/2010 du 22 novembre 2011 consid. 1.2 et 8C_552/2007 du 19 février 2008 consid. 2). S’agissant de l’aggravation d’un état antérieur dégénératif au niveau de la colonne vertébrale, le statu quo sine est dans la règle atteint après 6 ou 9 mois, mais au plus tard après un an (arrêt du Tribunal fédéral 8C_508/2008 du 22 octobre 2008 consid.4.2).</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9</w:t>
      </w:r>
    </w:p>
    <w:p>
      <w:r>
        <w:t>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de personnes saines tant sur le plan psychique que physique mais également en tenant compte de personnes avec une prédisposition constitutionnelle (ATF 115 V 403 consid. 4b)</w:t>
      </w:r>
    </w:p>
    <w:p>
      <w:r>
        <w:rPr>
          <w:b/>
        </w:rPr>
        <w:t>E. 10</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w:t>
      </w:r>
    </w:p>
    <w:p>
      <w:r>
        <w:t>A/256/2015 - 16/24 -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w:t>
      </w:r>
    </w:p>
    <w:p>
      <w:r>
        <w:rPr>
          <w:b/>
        </w:rPr>
        <w:t>E. 11</w:t>
      </w:r>
    </w:p>
    <w:p>
      <w:r>
        <w:t>L’art. 6 al. 2 LAA a conféré au Conseil fédéral la compétence d’étendre la prise en charge par l’assurance-accidents à des lésions assimilables à un accident.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ATF 123 V 43 consid. 2b et les arrest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Il y a lieu d'admettre l’existence d'une cause extérieure lorsque le geste du quotidien qui a conduit à la douleur sollicite le corps, en particulier ses membres, dans une mesure supérieure à ce qui est normal d'un point de vue physiologique et maîtrisé d'un point de vue psychologique (arrêt du Tribunal fédéral 8C_496/2007 du 29 avril 2008 consid. 2).</w:t>
      </w:r>
    </w:p>
    <w:p>
      <w:r>
        <w:rPr>
          <w:b/>
        </w:rPr>
        <w:t>E. 12</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A/256/2015 - 17/24 -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w:t>
      </w:r>
    </w:p>
    <w:p>
      <w:r>
        <w:t>A/256/2015 - 18/24 -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t>A/256/2015 - 19/24 -</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14</w:t>
      </w:r>
    </w:p>
    <w:p>
      <w:r>
        <w:t>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b.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w:t>
      </w:r>
    </w:p>
    <w:p>
      <w:r>
        <w:rPr>
          <w:b/>
        </w:rPr>
        <w:t>E. 17</w:t>
      </w:r>
    </w:p>
    <w:p>
      <w:r>
        <w:t>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 accidents (ATF 130 V 380 consid. 2.3.1). Dans le contexte de la suppression du droit à des prestations, la règle selon laquelle le fardeau de la preuve appartient à la partie qui invoque la suppression du droit</w:t>
      </w:r>
    </w:p>
    <w:p>
      <w:r>
        <w:t>A/256/2015 - 20/24 -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w:t>
      </w:r>
    </w:p>
    <w:p>
      <w:r>
        <w:t>c.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 16 septembre 2008 consid. 2.2). 15.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t>A/256/2015 - 21/24 -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16. En l’espèce, le recourant invoque un lien de causalité adéquate et naturelle entre l’accident du 7 juillet 2012 et les troubles dont il souffre depuis le 22 juillet 2014, en particulier au niveau de la colonne cervicale ; il se prévaut des avis du Dr D_____ des 13 mai 2013, 15 mai 2015, 17 août 2015, 2 septembre 2015 et</w:t>
      </w:r>
    </w:p>
    <w:p>
      <w:r>
        <w:rPr>
          <w:b/>
        </w:rPr>
        <w:t>E. 18</w:t>
      </w:r>
    </w:p>
    <w:p>
      <w:r>
        <w:t>septembre 2015, ainsi que du premier avis du Dr G_____ du 12 décembre 2013. Il estime en outre, au vu de l’avis du Dr J_____ du 8 avril 2016, qu’une expertise judiciaire est nécessaire. L’intimé relève que, faute de lésion cervicale au moment du traumatisme ou de décompensation d’une pathologie préexistante à l’accident, les troubles de la colonne cervicale ne peuvent être mis en relation pour le moins probable avec l’accident, en se fondant pour cela sur les avis des Drs H_____ des 22 septembre 2014 et 1er décembre 2014, I_____ du 31 juillet 2015, G_____ du 3 novembre 2015, D_____ du 19 décembre 2015 et J_____ du 8 avril 2016. 17. a. La chambre de céans constate que l’instruction complémentaire qu’elle a menée auprès des Drs D_____, G_____ et J_____ est suffisante, sans qu’une expertise judiciaire ne soit nécessaire, pour statuer sur le cas du recourant et qu’elle conduit à nier, au degré de la vraisemblance prépondérante, tout lien de causalité naturelle entre les troubles dont se plaint l’assuré au-delà du 22 juillet 2014 et l’accident du 7 juillet 2012. b. Il convient préalablement de constater que les circonstances dans lesquelles sont apparues les douleurs du recourant aux bras et à la nuque, soit entre décembre 2012 et janvier 2013, puis le 22 juillet 2014, respectivement pendant que le recourant se douchait en effectuant un mouvement de levée des bras au-dessus de la tête et pendant qu’il se brossait les dents, ne sauraient être qualifiés d’accident (art. 4 LPGA), ni même de facteur extérieur nécessaire pour reconnaître la présence d’une lésion assimilée (art. 9 al. 20 LAA), ; le recourant ne le prétend d’ailleurs pas. Il soutient cependant que les douleurs au bras droit ressentie en juillet 2014 et l’incapacité de travail en découlant relèvent du même problème, soit des douleurs aux bras et à la nuque survenues antérieurement, entre décembre 2012 et janvier 2013 et que celles-ci sont elles-mêmes une suite de l’accident du 7 juillet 2012.</w:t>
      </w:r>
    </w:p>
    <w:p>
      <w:r>
        <w:t>A/256/2015 - 22/24 - Au vu de ces explications, le recourant invoque l’apparition de séquelles tardives de l’accident du 7 juillet 2012, les troubles aux bras et à la nuque étant survenus, pour la première fois, environ six mois après l’accident. Or, le recourant n’a pas apporté la preuve, au degré de la vraisemblance prépondérante, que ces troubles seraient en lien de causalité naturelle et adéquate avec l’accident. A cet égard, le Dr D_____ a précisé le 12 septembre 2015 qu’au vu de l’image CT- scan du jour de l’accident et de celle, radiologique, du 13 mai 2013, la morphologie post-traumatique de la vertèbre C6 qu’il a constatée et confirmée, ne pouvait provenir de l’événement accidentel du 7 juillet 2012. Le 19 décembre 2015, il a même indiqué qu’il pouvait exclure avec confiance une fracture datant du jour de l’accident. S’agissant du Dr G_____, il a précisé le 3 novembre 2015 qu’il ne pensait pas qu’il existait un lien de causalité naturelle entre les douleurs du recourant à la nuque et au bras ressenties fin décembre 2012 et l’accident du 7 juillet 2012, notamment compte tenu du délai d’apparition des symptômes et le caractère neuropathique des douleurs, que la sténose foraminale pourrait expliquer les symptômes même s’il n’y avait pas, en l’absence d’une infiltration foraminale, de certitude à cet égard et que la sténose foraminale n’était vraisemblablement pas en lien avec le traumatisme. Même si le Dr G_____ a considéré que le tassement antérieur de C6 et la spondylodiscarthrose étaient plutôt en lien avec l’accident du 7 juillet 2012 qu’avec le mouvement de bras effectué par le recourant alors qu’il se douchait, cette relation a été clairement niée par le Dr D_____, sur la base d’un examen minutieux des images CT-scan et radiologique. Quant au Dr J_____, il a clairement exclu, le 8 avril 2016, tout lien de causalité entre les symptômes de type paresthésie aux membres supérieurs du recourant et l’accident, en considérant qu’ils relevaient d’un syndrome du tunnel carpien, lui- même sans lien avec l’accident, et qu’il n’y avait par ailleurs pas de compression médullaire sur l’IRM cervicale standard. c. Enfin, le recourant se prévaut du fait que l’intimée a octroyé des prestations en lien avec les douleurs survenues entre décembre 2012 et janvier 2013, jusqu’au</w:t>
      </w:r>
    </w:p>
    <w:p>
      <w:r>
        <w:rPr>
          <w:b/>
        </w:rPr>
        <w:t>E. 21</w:t>
      </w:r>
    </w:p>
    <w:p>
      <w:r>
        <w:t>juillet 2014, de sorte qu’elle devrait continuer de délivrer des prestations pour les douleurs invoquées depuis le 22 juillet 2014, celle-ci s’inscrivant dans le même complexe de faits. Conformément à la jurisprudence précitée, il n’incombe pas à l’intimée de ramener la preuve qu’aucune atteinte à la santé ne subsiste (consid. 14 c), mais au recourant d’établir, au degré de la vraisemblance prépondérante, l’existence d’un rapport de causalité naturelle entre l’état pathologique qui se manifeste à nouveau et l’accident, ce qu’il a échoué à faire.</w:t>
      </w:r>
    </w:p>
    <w:p>
      <w:r>
        <w:t>A/256/2015 - 23/24 - 18. Au vu de ce qui précède, le lien de causalité naturelle et adéquate entre les douleurs à la nuque et au bras du recourant, ainsi que l’incapacité de travail totale attestée par le Dr F_____ depuis le 22 juillet 2014 et l’accident du 7 juillet 2012 doit être nié de sorte que la décision litigieuse ne peut qu’être confirmée. 19. Partant le recours sera rejeté. Pour le surplus, la procédure est gratuite.</w:t>
      </w:r>
    </w:p>
    <w:p>
      <w:r>
        <w:t>A/256/2015 - 24/24 -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