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ATAS/394/2015 vom 28. Mai 2015</w:t>
      </w:r>
    </w:p>
    <w:p>
      <w:r>
        <w:t>GE Cour de justice, 2015-05-28, FR</w:t>
      </w:r>
    </w:p>
    <w:p>
      <w:r>
        <w:rPr>
          <w:b/>
        </w:rPr>
        <w:t xml:space="preserve">Quelle: </w:t>
      </w:r>
      <w:r>
        <w:t>https://mcp.opencaselaw.ch/entscheid/ge_gerichte_ATAS_394_2015</w:t>
      </w:r>
    </w:p>
    <w:p>
      <w:r>
        <w:t>FR: GE_GERICHTE ATAS/394/2015 du 28 mai 2015</w:t>
      </w:r>
    </w:p>
    <w:p>
      <w:r>
        <w:t>IT: GE_GERICHTE ATAS/394/2015 del 28 maggio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à 60 LPGA).</w:t>
      </w:r>
    </w:p>
    <w:p>
      <w:r>
        <w:rPr>
          <w:b/>
        </w:rPr>
        <w:t>E. 4</w:t>
      </w:r>
    </w:p>
    <w:p>
      <w:r>
        <w:t>Le litige porte sur le droit de l’assuré à l’indemnité de chômage à compter du 29 mars 2012, singulièrement sur la date à laquelle il a rompu tout lien avec la société l’ayant employé.</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Ainsi, tant que ces personnes occupent une position comparable à celle d’un employeur dans l’entreprise, elles n’ont pas droit à l’indemnité de chômage, car</w:t>
      </w:r>
    </w:p>
    <w:p>
      <w:r>
        <w:t>A/3159/2013 - 7/10 -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(ATF 123 V 234 consid. 7b/bb, ATF 120 V 521; bulletin MT/AC 2003/4 fiche 4/1). Si des indices permettent à la caisse de supposer que l’assuré occupe une position comparable à celle d’un employeur, elle doit notamment exiger un extrait du registre du commerce et examiner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w:t>
      </w:r>
    </w:p>
    <w:p>
      <w:r>
        <w:t>A/3159/2013 - 8/10 - consid. 2). Cela est notamment considéré comme étant le cas si l’assuré exerce durant au moins six mois une activité salariée auprès d’un employeur tiers. Est déterminant le moment de la démission effective, non pas la date de la radiation de l’inscription au registre du commerce ou celle de la publication dans la Feuille officielle suisse du commerce, celles-ci pouvant prendre du retard pour quelque motif que ce soit (ATF non publié C 358/01 consid. 4.2, voir également RUBIN, Assurance-chômage, 2014, p. 349).</w:t>
      </w:r>
    </w:p>
    <w:p>
      <w:r>
        <w:rPr>
          <w:b/>
        </w:rPr>
        <w:t>E. 7</w:t>
      </w:r>
    </w:p>
    <w:p>
      <w:r>
        <w:t>En l’espèce, il est établi que l’assuré n’a été radié du RC que le 18 septembre 2013 (cf. facture du RC du même jour). Conformément à la jurisprudence, très restrictive en la matière, rappelée supra, l’assuré, en sa qualité d’associé gérant de la société, a eu jusqu’à cette date, de par sa fonction, une position comparable à celle d’un employeur et était par conséquent exclu d’emblée du cercle des ayants droit à l’indemnité. Il est vrai cependant que c’est le moment de la date de la démission effective qui doit être pris en considération. En l’espèce, il ressort des pièces versées à la procédure que l’assuré avait demandé sa radiation au RC en date du 15 mars 2012 déjà (cf. courrier du RC du 16 mars 2012 lui réclamant un certain nombre de documents pour donner suite à sa demande). Il n’en demeure pas moins que l’assuré n’a pas donné suite aux demandes répétées du RC de produire les pièces justifiant le transfert des parts sociales et son approbation par l’assemblée des associés (cf. courrier du RC du 5 avril 2012) et à défaut desquels le RC ne pouvait donner suite à sa demande de radiation. Il convient en effet de rappeler que, selon l’art. 810 al. 2 ch. 1 du Code des obligations (CO ; RS 220), les gérants exercent la haute direction de la société ; ils sont nommés et, cas échéant, révoqués par l’assemblée des associés (art. 804 al. 1 et 2 ch. 2 CO). Sauf dérogation, la cession de parts sociales requiert l’approbation de l’assemblée des associés (art. 786 al. 1 CO) et ne déploie ses effets, dans ce cas, qu’une fois ladite approbation donnée (art. 787 al. 1 CO). Or, ce n’est qu’en date du 6 juillet 2012 (cf. procès-verbal de l’assemblée générale extraordinaire des associés), que la vente des parts sociales a été approuvée, la démission de l’assuré acceptée, de sorte que les documents réclamés par le RC lui ont été finalement adressés par pli du 16 juillet 2012. A cet égard, le document produit par l’assuré, daté du 21 juillet 2011, signé de lui et de sa mère et disant approuver le transfert des parts ne saurait être considéré comme valant procès-verbal d’assemblée générale. Ni l’assuré ni sa mère ne s’en sont d’ailleurs prévalu auprès du RC. Par conséquent, conformément aux art. 786 al. 1 et. 787 al. 1 CO, ce n’est qu’à compter de 6 juillet 2012 que la cession des parts sociales a déployé ses effets et que l’assuré n’a plus bénéficié d’une position assimilable à celle d’un employeur, même si l’inscription au registre du commerce n’a en réalité été effectuée que plus tard.</w:t>
      </w:r>
    </w:p>
    <w:p>
      <w:r>
        <w:t>A/3159/2013 - 9/10 - Il en découle qu’au moment où il s’est annoncé à l’intimée, l’assuré ne remplissait pas encore les conditions lui ouvrant droit aux indemnités, puisque ce n’est qu’à compter du 6 juillet 2012 qu’il a cessé d’occuper une situation assimilable à celle d’un employeur. Se pose dès lors la question de savoir si l’assuré aurait dû se voir reconnaître le droit aux indemnités du 6 juillet au 30 septembre 2012, étant rappelé que l’OCE l’a reconnu inapte au placement à compter du 1er octobre 2012 (décision de l’OCE désormais entrée en force).</w:t>
      </w:r>
    </w:p>
    <w:p>
      <w:r>
        <w:rPr>
          <w:b/>
        </w:rPr>
        <w:t>E. 8</w:t>
      </w:r>
    </w:p>
    <w:p>
      <w:r>
        <w:t>Selon l'art. 29 de l’ordonnance sur l'assurance-chômage obligatoire et l'indemnité en cas d'insolvabilité du 31 août 1983 (OACI - RS 837.02), l'assuré exerce son droit, notamment, en remettant la formule « Indications de la personne assurée » (al. 1 let. d et al. 2 let. a). Dans la mesure où seules les IPA des mois de juillet et août 2012 sont parvenues à l’intimée en temps utile, on ne peut répondre par l’affirmative à cette question que pour les deux mois en question. En l'espèce, force est de constater que l’assuré n'a remis que les formulaires IPA relatifs aux mois de juillet et août 2012, de sorte que les conditions d’octroi de l’indemnité ne sont remplies que pour les deux mois en question. Eu égard aux considérations qui précèdent, le recours est partiellement admis en ce sens que le droit à l’indemnité de chômage est reconnu à l’assuré pour la période du 6 juillet au 31 août 2012, sous déduction des 9 jours de suspension dont il a fait l’objet pour manquement à ses devoirs, applicables à cette période-là.</w:t>
      </w:r>
    </w:p>
    <w:p>
      <w:r>
        <w:t>A/3159/2013 - 10/10 -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