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ATAS/394/2009 vom 14. September 2006</w:t>
      </w:r>
    </w:p>
    <w:p>
      <w:r>
        <w:t>GE Cour de justice, 2006-09-14, FR</w:t>
      </w:r>
    </w:p>
    <w:p>
      <w:r>
        <w:rPr>
          <w:b/>
        </w:rPr>
        <w:t xml:space="preserve">Quelle: </w:t>
      </w:r>
      <w:r>
        <w:t>https://mcp.opencaselaw.ch/entscheid/ge_gerichte_ATAS_394_2009</w:t>
      </w:r>
    </w:p>
    <w:p>
      <w:r>
        <w:t>FR: GE_GERICHTE ATAS/394/2009 du 14 septembre 2006</w:t>
      </w:r>
    </w:p>
    <w:p>
      <w:r>
        <w:t>IT: GE_GERICHTE ATAS/394/2009 del 14 settembre 2006</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w:t>
      </w:r>
    </w:p>
    <w:p>
      <w:r>
        <w:t>A/2754/2007 3/4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4 mars 1994, d’autre part le 20 octobre 2006, date à laquelle le jugement de divorce est devenu exécutoire.</w:t>
      </w:r>
    </w:p>
    <w:p>
      <w:r>
        <w:rPr>
          <w:b/>
        </w:rPr>
        <w:t>E. 4</w:t>
      </w:r>
    </w:p>
    <w:p>
      <w:r>
        <w:t>Il y a lieu de constater que le retrait de 398'000 fr. effectué par le demandeur le 12 mai 2000 dans le cadre de l'accession à la propriété avait été, à tort, omis par le Tribunal de céans dans son jugement du 15 avril 2008. Il se justifie dès lors de l'ajouter aux avoirs accumulés par le demandeur, de sorte que c'est un montant de 985'377 fr.35 (587'377 fr. 35 + 398'000 fr.) qui doit être pris en considération. Aussi le demandeur doit-il à son ex-épouse le montant de 492'688 fr. 70 (985'377 fr. 35 : 2) et celle-ci reste lui devoir 33'355 fr. 90 (66'711 fr. 75 : 2). Le demandeur doit ainsi à son ex-épouse le montant de 459'332 fr. 80 (492'688 fr. 70 - 33'355 fr. 90).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A/2754/2007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