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ATAS/394/2008 vom 7. April 2008</w:t>
      </w:r>
    </w:p>
    <w:p>
      <w:r>
        <w:t>GE Cour de justice, 2008-04-07, FR</w:t>
      </w:r>
    </w:p>
    <w:p>
      <w:r>
        <w:rPr>
          <w:b/>
        </w:rPr>
        <w:t xml:space="preserve">Quelle: </w:t>
      </w:r>
      <w:r>
        <w:t>https://mcp.opencaselaw.ch/entscheid/ge_gerichte_ATAS_394_2008</w:t>
      </w:r>
    </w:p>
    <w:p>
      <w:r>
        <w:t>FR: GE_GERICHTE ATAS/394/2008 du 7 avril 2008</w:t>
      </w:r>
    </w:p>
    <w:p>
      <w:r>
        <w:t>IT: GE_GERICHTE ATAS/394/2008 del 7 aprile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w:t>
      </w:r>
    </w:p>
    <w:p>
      <w:r>
        <w:t>A/4254/2007 - 7/14 -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25 novembre 2006. La LPGA s’applique donc au cas d’espèce.</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9 juillet 2007, qui a été confirmé par la décision du 3 octobre 2007, contre laquelle l'assuré a interjeté directement recours devant le Tribunal de céans le 5 novembre 2007. c) Interjeté dans les forme et délai prévus par la loi, devant l'autorité compétente, le recours est en conséquence recevable (art. 56 ss LPGA).</w:t>
      </w:r>
    </w:p>
    <w:p>
      <w:r>
        <w:rPr>
          <w:b/>
        </w:rPr>
        <w:t>E. 4</w:t>
      </w:r>
    </w:p>
    <w:p>
      <w:r>
        <w:t>L'objet du litige porte sur le droit du recourant à des prestations de l'assurance- 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A/4254/2007 - 8/14 -</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 art. 1 al. 1 LAI en corrélation avec l'art. 16 LPGA; depuis le 1er janvier 2004 : art. 28 al. 2 LAI en corrélation avec l'art. 16 LPGA). Pour procéder à la comparaison des revenus, il convient de se placer au moment de la naissance du</w:t>
      </w:r>
    </w:p>
    <w:p>
      <w:r>
        <w:t>A/4254/2007 - 9/14 -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A/4254/2007 - 10/14 -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A/4254/2007 - 11/14 -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l'expertise du Dr O_________ du 11 décembre 2006, complétée à la demande du Tribunal de céans le 20 février 2008, répond aux exigences jurisprudentielles pour qu'il lui soit reconnu une pleine valeur probante. En particulier, le Dr O_________ a confirmé le 20 février 2008 les conclusions de son expertise en ayant pris connaissance des rapports des Drs M_________ du 30 janvier 2007 et N_________ du 29 octobre 2007. Il en ressort que le recourant est totalement incapable de travailler dans son ancienne profession de peintre en bâtiment, mais qu'il dispose d'une capacité de travail, d'un point de vue médical, de 100% dans une activité légère ne nécessitant pas de gros efforts physiques avec les membres supérieurs, étant relevé que cette capacité apparaît théorique à l'expert chez un patient du bâtiment âgé de plus de 61 ans. L'incapacité de travail dans l'ancienne activité est confirmée par les autres médecins et d'ailleurs admise par l'intimé, le SMR ayant confirmé l'appréciation du Dr O_________. Le recourant invoque cependant une incapacité de travail totale en</w:t>
      </w:r>
    </w:p>
    <w:p>
      <w:r>
        <w:t>A/4254/2007 - 12/14 - se fondant sur l'IRM du 17 septembre 2007 et le rapport du Dr N_________ du 29 octobre 2007. Le 30 janvier 2007, le Dr M_________ a estimé qu'un travail à 50% respectant les limitations du recourant était éventuellement possible. Questionné sur la capacité de travail du recourant, il a précisé le 13 février 2008 qu'on pourrait imaginer une reprise de travail complète dans le cadre d'un travail adapté, mais que cette estimation était théorique, comme l'avait relevé le Dr O_________, avec lequel il était d'accord, dès lors que le recourant avait bientôt 63 ans, qu'il avait une unique formation de peintre et des limitations physiques. Quant au Dr N_________, il a estimé qu'il voyait mal comment le recourant pourrait, vu son âge, exercer une autre activité professionnelle, compte tenu des autres problèmes ajoutés à celui des épaules, soit les douleurs et blocages lombaires et l'atteinte rhumatismale dégénérative (colonne cervicale, lombaire, poignet droit, genoux, insertion des tendons d'Achille). L'expertise du Dr O_________ qui, comme il a été dit ci-dessus, a pleine valeur probante, a été confirmée par le Dr M_________, médecin traitant du recourant, s'agissant en particulier de la capacité de travail à 100% du recourant dans une activité adaptée. Les conclusions de cette expertise ne sont, par ailleurs, pas sérieusement mises en cause par le Dr N_________, lequel se borne à évoquer les problèmes physiques surajoutés à celui des épaules, ainsi que l'âge avancé du recourant. Or, à cet égard, en matière d'assurance-invalidité, la longue période d'inactivité, l'âge ou l'absence de motivation ne constituent pas des atteintes à la santé à prendre en considération pour évaluer l'incapacité de travail ou de gain d'un assuré. Le fait que la personne concernée se considère comme invalide ne constitue pas davantage un critère. Il convient bien plutôt de se demander si, en raison d'atteintes à la santé, l'assuré ne dispose plus des ressources physiques et psychiques nécessaires à la reprise d'une activité professionnelle (ATFA du 5 décembre 2005 I 685/04). En conclusion, il convient d'admettre que le recourant dispose d'une capacité de travail de 100% dans une activité adaptée.</w:t>
      </w:r>
    </w:p>
    <w:p>
      <w:r>
        <w:rPr>
          <w:b/>
        </w:rPr>
        <w:t>E. 10</w:t>
      </w:r>
    </w:p>
    <w:p>
      <w:r>
        <w:t>S'agissant du calcul du degré d'invalidité, celui effectué par l'intimé, aboutissant à un degré de 15,7%, doit être confirmé, ce d'autant que même si le revenu maximal avant invalidité de 64'455 fr. était retenu, le degré d'invalidité en résultant serait inférieur à celui de 40% exigé pour avoir le droit à une rente d'invalidité, soit, en l'espèce, un degré de 35%, compte tenu d'un revenu d'invalide de 43'792 fr. fondé sur les ESS 2004, indexé à 2006, avec une déduction maximale de 25%. Le recourant ne conteste d'ailleurs aucun des revenus pris en compte par l'intimé.</w:t>
      </w:r>
    </w:p>
    <w:p>
      <w:r>
        <w:rPr>
          <w:b/>
        </w:rPr>
        <w:t>E. 11</w:t>
      </w:r>
    </w:p>
    <w:p>
      <w:r>
        <w:t>a) Au vu de ce qui précède, le recours est mal fondé et il doit être rejeté.</w:t>
      </w:r>
    </w:p>
    <w:p>
      <w:r>
        <w:t>A/4254/2007 - 13/14 -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rPr>
          <w:b/>
        </w:rPr>
        <w:t>E. 12</w:t>
      </w:r>
    </w:p>
    <w:p>
      <w:r>
        <w:t>Un émolument de 200 fr. sera ainsi mis à la charge du recourant qui succombe (art. 69 al. 1bis LAI).</w:t>
      </w:r>
    </w:p>
    <w:p>
      <w:r>
        <w:t>A/4254/2007 - 14/14 -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