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ATAS/393/2017 vom 23. Mai 2017</w:t>
      </w:r>
    </w:p>
    <w:p>
      <w:r>
        <w:t>GE Cour de justice, 2017-05-23, FR</w:t>
      </w:r>
    </w:p>
    <w:p>
      <w:r>
        <w:rPr>
          <w:b/>
        </w:rPr>
        <w:t xml:space="preserve">Quelle: </w:t>
      </w:r>
      <w:r>
        <w:t>https://mcp.opencaselaw.ch/entscheid/ge_gerichte_ATAS_393_2017</w:t>
      </w:r>
    </w:p>
    <w:p>
      <w:r>
        <w:t>FR: GE_GERICHTE ATAS/393/2017 du 23 mai 2017</w:t>
      </w:r>
    </w:p>
    <w:p>
      <w:r>
        <w:t>IT: GE_GERICHTE ATAS/393/2017 del 23 maggio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degré d’invalidité du recourant et la quotité de son indemnité pour atteinte à l’intégrité.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A/2048/2016 - 19/28 -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A/2048/2016 - 20/28 - b.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w:t>
      </w:r>
    </w:p>
    <w:p>
      <w:r>
        <w:t>A/2048/2016 - 21/28 - références; RAMA 2006 n° U 570 p. 74 consid. 1.5.2; arrêt du Tribunal fédéral des assurances U 80/05 du 18 novembre 2005 consid.1.1).</w:t>
      </w:r>
    </w:p>
    <w:p>
      <w:r>
        <w:rPr>
          <w:b/>
        </w:rPr>
        <w:t>E. 11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w:t>
      </w:r>
    </w:p>
    <w:p>
      <w:r>
        <w:t>A/2048/2016 - 22/28 -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12</w:t>
      </w:r>
    </w:p>
    <w:p>
      <w:r>
        <w:t>a. Pour pouvoir calculer le degré d'invalidité, l'administration ou l'instance de recours a besoin de documents que le médecin ou d'autres spécialistes doivent lui</w:t>
      </w:r>
    </w:p>
    <w:p>
      <w:r>
        <w:t>A/2048/2016 - 23/28 -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w:t>
      </w:r>
    </w:p>
    <w:p>
      <w:r>
        <w:t>A/2048/2016 - 24/28 -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w:t>
      </w:r>
    </w:p>
    <w:p>
      <w:r>
        <w:t>A/2048/2016 - 25/28 - supporter les conséquences (ATF 117 V 261 consid. 3), sauf si l'impossibilité de prouver un fait peut être imputée à l'adverse partie (ATF 124 V 372 consid. 3; RAMA 1999 n° U 344 p. 418 consid. 3).</w:t>
      </w:r>
    </w:p>
    <w:p>
      <w:r>
        <w:rPr>
          <w:b/>
        </w:rPr>
        <w:t>E. 15</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17</w:t>
      </w:r>
    </w:p>
    <w:p>
      <w:r>
        <w:t>En l’espèce, vu les avis très divergents, d’une part, de la CRR et du Dr I______, d’autre part, des Drs J______ et S______ quant à l’estimation de la capacité de travail exigible de la part du recourant, il convient d’ordonner une expertise judiciaire. Il sera également posé à l’expert des questions relativement aux critères jurisprudentiels du Tribunal fédéral permettant d’établir un lien de causalité adéquat entre des troubles psychiques, invoqués en l’espèce par le recourant, et l’accident, afin d'évaluer si une expertise psychiatrique est également nécessaire (cf. ci-après : question 4, lettre m, chiffres 1 à 3). Partant, une expertise orthopédique sera confiée au docteur V_____, spécialiste FMH en chirurgie orthopédique chirurgien orthopédique, spécialiste FMH en orthopédie.</w:t>
      </w:r>
    </w:p>
    <w:p>
      <w:r>
        <w:t>A/2048/2016 - 26/28 - PAR CES MOTIFS, LA CHAMBRE DES ASSURANCES SOCIALES : Statuant préparatoirement : I. Ordonne une expertise médicale. La confie au Dr V_____, spécialiste FMH en chirurgie orthopédique chirurgien orthopédique. Dit que la mission d’expertise sera la suivante : 1. Prendre connaissance du dossier de la cause. 2. Si nécessaire, prendre tous renseignements auprès des médecins ayant traité Monsieur A______ (ci-après : le recourant), notamment les Drs J______, P______ et T_____. 3. Examiner personnellement le recourant, au besoin avec l’aide d’un interprète. 4. Etablir un rapport détaillé et répondre aux questions suivantes : a) Quelle est l’anamnèse détaillée du cas ? b) Quelles sont les plaintes du recourant ? c) Quelle est l’atteinte à la santé dont souffre le recourant (diagnostics avec et sans répercussion sur la capacité de travail, dates d’apparition) ? d) Quel est le status détaillé et l’évolution du status depuis le début de l’atteinte ? e) Le recourant suit-il un traitement adéquat ? f) Quelles sont les limitations fonctionnelles en relation avec chaque diagnostic ? g) Les atteintes à la santé sont-elles en relation de causalité naturelle avec l’accident du 24 juin 2013 ? h) 1) Compte tenu de vos diagnostics, le recourant pourrait-il exercer une activité lucrative ? Si non, pourquoi ? Si oui, laquelle ? À quel taux ? Depuis quelle date ? 2) Quel est votre pronostic quant à l’exigibilité de la reprise d’une activité lucrative ? En particulier, une activité adaptée aux limitations fonctionnelles est-elle possible ? Si oui, depuis quelle date ? Si non ou dans une mesure restreinte, pour quels motifs ? Une diminution de rendement (pour des motifs physiques en lien avec l’accident) est-elle à prévoir dans une activité adaptée aux limitations fonctionnelles ? Si oui, quel est le taux de cette diminution ? 3) Quelles sont les limitations fonctionnelles qui entrent en ligne de compte ? Des mesures médicales sont-elles nécessaires préalablement à la</w:t>
      </w:r>
    </w:p>
    <w:p>
      <w:r>
        <w:t>A/2048/2016 - 27/28 - reprise d’une activité lucrative ? Si oui, lesquelles ? Y-a-t-il lieu d’en attendre une sensible amélioration de l'état de santé du recourant, plus particulièrement une réduction (amélioration) de l’incapacité de travail causée par l’accident ? Dans l’affirmative, veuillez préciser votre réponse par rapport à l’ancienne activité de maçon/ par rapport à une activité adaptée aux limitations fonctionnelles. 4) Les activités sertisseur en bijouterie, agent d’opérations aéroportuaires, visiteur dans l’horlogerie, camionneur-chauffeur ou polisseur de métaux (selon les DPT sélectionnées ; dossier SUVA, pièce 173, p. 15 ss) sont- elles exigibles ? Si oui, veuillez indiquer, pour chaque activité, depuis quelle date et à quel taux ? i) Quel est le pronostic ? j) Êtes-vous d’accord avec le rapport de la CRR du 9 octobre 2015 ? En particulier avec la formulation d’un pronostic favorable pour une réinsertion dans une activité adaptée respectant les limitations fonctionnelles retenues par ces médecins ? Si non, pourquoi ? k) Êtes-vous d’accord avec les avis du Dr I______ des 25 et 26 novembre 2014 et du 1er septembre 2015 ? En particulier avec les limitations fonctionnelles mentionnées et l’estimation d’une pleine capacité de travail sans diminution de rendement dans une activité respectant les limitations fonctionnelles, ainsi qu’avec la fixation d’une IPAI de 15% ? Si non, pourquoi ? l) Êtes-vous d’accord avec les avis du Dr J______ des 1er février et 6 avril 2016 ? En particulier, avec l’estimation d’une incapacité de travail totale depuis l’accident avant une éventuelle arthrodèse (en faisant abstraction des restrictions induites par l’état anxio-dépressif sévère mentionné par ce médecin) ? Si non, pourquoi ? m) 1) Des erreurs médicales dans le traitement du recourant se sont-elles produites ? Si oui, lesquelles et avec quelles conséquences ? 2) Des difficultés et complications importantes sont-elles apparues au cours de la guérison ? Si oui, lesquelles et avec quelles conséquences ? 3) Existe-t-il des douleurs physiques persistantes ? Atteignent-elles une intensité particulière ? n) Des mesures de réadaptation professionnelle sont-elles actuellement envisageables ? o) Faire toutes autres observations ou suggestions utiles.</w:t>
      </w:r>
    </w:p>
    <w:p>
      <w:r>
        <w:t>A/2048/2016 - 28/28 -</w:t>
      </w:r>
    </w:p>
    <w:p>
      <w:r>
        <w:t>II. Réserve le sort des frais jusqu’à droit jugé au fond.</w:t>
      </w:r>
    </w:p>
    <w:p>
      <w:r>
        <w:t>La greffière</w:t>
      </w:r>
    </w:p>
    <w:p>
      <w:r>
        <w:t>Irene PONCET</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