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ATAS/392/2016 vom 17. Mai 2016</w:t>
      </w:r>
    </w:p>
    <w:p>
      <w:r>
        <w:t>GE Cour de justice, 2016-05-17, FR</w:t>
      </w:r>
    </w:p>
    <w:p>
      <w:r>
        <w:rPr>
          <w:b/>
        </w:rPr>
        <w:t xml:space="preserve">Quelle: </w:t>
      </w:r>
      <w:r>
        <w:t>https://mcp.opencaselaw.ch/entscheid/ge_gerichte_ATAS_392_2016</w:t>
      </w:r>
    </w:p>
    <w:p>
      <w:r>
        <w:t>FR: GE_GERICHTE ATAS/392/2016 du 17 mai 2016</w:t>
      </w:r>
    </w:p>
    <w:p>
      <w:r>
        <w:t>IT: GE_GERICHTE ATAS/392/2016 del 17 maggio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les forme et délai prévus par la loi (art. 56ss LPGA), le présent recours est recevable.</w:t>
      </w:r>
    </w:p>
    <w:p>
      <w:r>
        <w:rPr>
          <w:b/>
        </w:rPr>
        <w:t>E. 3.2</w:t>
      </w:r>
    </w:p>
    <w:p>
      <w:r>
        <w:t>; CIIAI nos 3023 et 3024). Lorsque le revenu est soumis à des fluctuations très importantes à relativement court terme, on se base, pour fixer le revenu sans invalidité, sur le revenu moyen réalisé pendant une assez longue période (RCC 1985 p. 474). Pour fixer le revenu sans invalidité d’une personne de condition indépendante,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CPAI). Un rapport d’enquête devra, le cas échéant, donner des renseignements suffisamment précis sur la situation de l’entreprise. Les données des déclarations fiscales ne permettent pas de se prononcer sur le revenu réel (arrêt du Tribunal fédéral 8C_9/2009). L’extrait du CI est en principe déterminant pour calculer le revenu. En effet, on peut admettre que la caisse de compensation a procédé conformément aux prescriptions applicables à la détermination du revenu soumis à cotisation et à son inscription dans le CI (arrêt du Tribunal fédéral 8C_530/2013).</w:t>
      </w:r>
    </w:p>
    <w:p>
      <w:r>
        <w:rPr>
          <w:b/>
        </w:rPr>
        <w:t>E. 4</w:t>
      </w:r>
    </w:p>
    <w:p>
      <w:r>
        <w:t>Le litige porte sur le droit de l’assuré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A/4442/2015 - 6/17 -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Aussi la notion d'invalidité, au sens du droit des assurances sociales, est-elle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w:t>
      </w:r>
    </w:p>
    <w:p>
      <w:r>
        <w:t>A/4442/2015 - 7/17 -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w:t>
      </w:r>
    </w:p>
    <w:p>
      <w:r>
        <w:t>A/4442/2015 - 8/17 -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 du Tribunal fédéral des assurances I 35/03 du 24 octobre 2003 consid. 4.3 et les références, in Plädoyer 2004/3 p. 64 ; arrêt du Tribunal fédéral 9C_512/2013 du 16 janvier 2014 consid. 5.2.1).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A/4442/2015 - 9/17 -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8</w:t>
      </w:r>
    </w:p>
    <w:p>
      <w:r>
        <w:t>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w:t>
      </w:r>
    </w:p>
    <w:p>
      <w:r>
        <w:t>A/4442/2015 - 10/17 -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On rappellera encore qu'il n'existe pas un droit inconditionnel à obtenir une mesure professionnelle (voir par ex. arrêt du Tribunal fédéral 9C_385/2009 du 13 octobre 2009). Il faut également relever que si une perte de gain de 20% environ ouvre en principe droit à une mesure de reclassement dans une nouvelle profession (ATF 124 V 108 consid. 2b et les arrêts cités), le pourcentage étant calculé selon les mêmes principes que ceux appliqués lors de la détermination du degré d’invalidité dans le cas du droit à une rente (RCC 1984, p. 95 et VSI 2000, p. 63). La question d’une quotité minimale reste ouverte s'agissant des autres mesures d'ordre professionnel prévues par la loi (cf. arrêts du Tribunal fédéral 9C_464/2009 du 31 mai 2010 et 9C_385/2009 du 13 octobre 2009).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w:t>
      </w:r>
    </w:p>
    <w:p>
      <w:r>
        <w:t>A/4442/2015 - 11/17 - (arrêt du Tribunal fédéral 9C_882/2008 du 29 octobre 2009 consid. 5.1 et les références). c)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d) L'art. 18 al. 1 première phrase LAI, dans sa teneur selon la novelle du 21 mars 2003 ([4ème révision de l'AI], en vigueur du 1er janvier 2004 au 31 décembre 2007), disposait que les assurés invalides qui sont susceptibles d'être réadaptés ont droit à un soutien actif dans la recherche d'un emploi approprié, et, s'ils en ont déjà un, à</w:t>
      </w:r>
    </w:p>
    <w:p>
      <w:r>
        <w:t>A/4442/2015 - 12/17 - un conseil suivi afin de le conserver. Aux termes de l'art. 18 al. 1 LAI (nouvelle teneur selon la novelle du 6 octobre 2006 [5ème révision de l'AI], en vigueur depuis le 1er janvier 2008), l'assuré présentant une incapacité de travail et susceptible d'être réadapté a droit :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Selon la jurisprudence développée à propos de l'art. 18 LAI dans sa teneur jusqu'au 31 décembre 2003, l'admission du droit au service de placement est subordonnée aux conditions générales du droit aux prestations de l'assurance-invalidité;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 arrêt du Tribunal fédéral 9C_416/2009 du 1er mars 2010 consid. 5.2).</w:t>
      </w:r>
    </w:p>
    <w:p>
      <w:r>
        <w:rPr>
          <w:b/>
        </w:rPr>
        <w:t>E. 9</w:t>
      </w:r>
    </w:p>
    <w:p>
      <w:r>
        <w:t>En l’espèce, il n’est pas contesté que l’assuré présente des atteintes à la santé qui ont une influence sur sa capacité de travail en tant que peintre en bâtiment ou pucier. Il a été admis que sa capacité de travail était entière dans une activité</w:t>
      </w:r>
    </w:p>
    <w:p>
      <w:r>
        <w:t>A/4442/2015 - 13/17 - adaptée à ses limitations dès avril 2012. La Dresse B______ partageait du reste cet avis, pour autant que son patient puisse être formé. Or, tel a été le cas. Il ressort en effet du dossier que l’assuré a pu bénéficier de plusieurs mesures professionnelles, plus particulièrement un stage d’orientation professionnelle sur la base de l’art 15 LAI, puis d’une formation pratique en tant que sérigraphe-graveur laser.</w:t>
      </w:r>
    </w:p>
    <w:p>
      <w:r>
        <w:rPr>
          <w:b/>
        </w:rPr>
        <w:t>E. 10</w:t>
      </w:r>
    </w:p>
    <w:p>
      <w:r>
        <w:t>Il apparaît, ce que l’assuré ne conteste pas, que la formation suivie et terminée avec succès est compatible avec une activité adaptée respectant les limitations fonctionnelles décrites par la Dresse B______. Par conséquent, il convient d’admettre que les mesures d’ordre professionnel mises en œuvre par l’OAI ont atteint leur but (art. 17 LAI).</w:t>
      </w:r>
    </w:p>
    <w:p>
      <w:r>
        <w:rPr>
          <w:b/>
        </w:rPr>
        <w:t>E. 11</w:t>
      </w:r>
    </w:p>
    <w:p>
      <w:r>
        <w:t>L’assuré se plaint de ne pas retrouver du travail, le gravage laser n’étant pas beaucoup demandé sur Genève. Force est toutefois de constater que les difficultés auxquelles l’assuré est confronté relèvent à cet égard de l’assurance-chômage et non plus de l’assurance-invalidité.</w:t>
      </w:r>
    </w:p>
    <w:p>
      <w:r>
        <w:rPr>
          <w:b/>
        </w:rPr>
        <w:t>E. 12</w:t>
      </w:r>
    </w:p>
    <w:p>
      <w:r>
        <w:t>Reste à déterminer le calcul du degré d’invalidité. a. L’assuré a droit à une rente lorsqu’il a présenté une incapacité de travail (art. 6 LPGA) d’au moins 40% en moyenne durant une année sans interruption notable et qu’au terme de cette année, il est invalide (art. 8 LPGA) à 40% au moins (cf. art. 28 al. 1 let. b et c LAI, dans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b. Concernant les assurés qui exerçaient une activité lucrative à plein temps avant d'être atteints dans leur santé physique, mentale ou psychique, il convient d’appliquer la méthode générale de comparaison des revenus.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w:t>
      </w:r>
    </w:p>
    <w:p>
      <w:r>
        <w:rPr>
          <w:b/>
        </w:rPr>
        <w:t>E. 13</w:t>
      </w:r>
    </w:p>
    <w:p>
      <w:r>
        <w:t>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t>A/4442/2015 - 14/17 - Les revenus à comparer sont déterminés en fonction de l’ensemble de l’activité lucrative, principale et accessoire (arrêts du Tribunal fédéral 9C_883/2007 et I 433/06 ; Circulaire sur l’invalidité et l’impotence dans l’assurance-invalidité (CIIAI), valable à partir du 1er janvier 2015, état au 1er mars 2016, n° 3015). Est également pris en compte comme revenu hypothétique sans invalidité le revenu provenant d’une activité accessoire, si l’on peut admettre qu’elle a été exercée régulièrement sur une période relativement longue. Les heures supplémentaires régulièrement accomplies comptent aussi dans le revenu sans invalidité (arrêts du Tribunal fédéral 9C_45/2008, I 181/05, I 273/05 et 8C_671/2010). Lorsqu’un taux d’occupation supérieur à 100 % a été pris en compte pour déterminer le revenu sans invalidité, ce taux supérieur peut aussi être pris comme base pour déterminer le revenu d’invalide, si aucune raison de santé ne s’y oppose (9C_766/2011 consid.</w:t>
      </w:r>
    </w:p>
    <w:p>
      <w:r>
        <w:rPr>
          <w:b/>
        </w:rPr>
        <w:t>E. 14</w:t>
      </w:r>
    </w:p>
    <w:p>
      <w:r>
        <w:t>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w:t>
      </w:r>
    </w:p>
    <w:p>
      <w:r>
        <w:t>A/4442/2015 - 15/17 - capacité résiduelle de travail est inférieur à la moyenne. Un abattement global maximal de 25% permet de tenir compte des différents éléments qui peuvent influencer le revenu d'une activité lucrative (ATF 126 V 75 consid. 5b).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15</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rPr>
          <w:b/>
        </w:rPr>
        <w:t>E. 16</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w:t>
      </w:r>
    </w:p>
    <w:p>
      <w:r>
        <w:t>A/4442/2015 - 16/17 -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9C_913/2012 du 9 avril 2013 consid. 5.2 et les références). À cet égard, il sied de préciser que le Tribunal fédéral a considéré qu’un homme de l’âge de 60 ans et deux mois n'était pas proche de la retraite (arrêt 9C_393/2008 du 27 janvier 2009) a fortiori un homme de 58 ans (arrêt du Tribunal fédéral 9C_800/2008 du 18 septembre 2009).</w:t>
      </w:r>
    </w:p>
    <w:p>
      <w:r>
        <w:rPr>
          <w:b/>
        </w:rPr>
        <w:t>E. 17</w:t>
      </w:r>
    </w:p>
    <w:p>
      <w:r>
        <w:t>a) En l’espèce, l’OAI s’est, à juste titre, fondé sur l’avis de taxation du 22 juin 2009 concernant l’année 2008, pour retenir, à titre de revenu sans invalidité, le salaire réalisé dans l’activité habituelle de peintre en bâtiment de CHF 69'999.-, réactualisé selon l’indice suisse des salaires pour 2014 à CHF 74'282.-. Il convient de déterminer à ce stade si à ce montant devrait être ajouté le revenu réalisé en tant que pucier. Force est toutefois de constater, à l’instar de l’OAI, que cette dernière activité n’est pas représentative, au vu des bénéfices d’exploitation et compte tenu de la date à laquelle est survenue l’atteinte à la santé. b) C’est également à juste titre que l’OAI s’est référé aux ESS, dans la mesure où l’assuré n’a pas repris une activité lucrative, pour fixer le salaire avec invalidité.</w:t>
      </w:r>
    </w:p>
    <w:p>
      <w:r>
        <w:rPr>
          <w:b/>
        </w:rPr>
        <w:t>E. 18</w:t>
      </w:r>
    </w:p>
    <w:p>
      <w:r>
        <w:t>L’OAI a tenu compte d’un abattement de 10% sur le salaire statistique, pour tenir compte de son âge. L’assuré est âgé de 58 ans au jour de la décision litigieuse. Il n'est pas proche de l'âge de la retraite dès lors que celui-ci est fixé à 65 ans pour les hommes. Aussi ne convient-il pas d’exclure, pour des motifs liés à son âge, toute perspective raisonnable de réinsertion dans le marché du travail. Il y a cependant lieu de relever que les effets de l’âge de l’assuré et de son absence du marché du travail depuis 2010 peuvent influer concrètement ses perspectives salariales. À cet égard, on pourrait considérer que l’abattement de 10% retenu par l’OAI ne tient pas compte de manière appropriée de ces facteurs, de sorte qu’une déduction de 15% serait plus justifiée. Ainsi, le revenu annuel brut avec invalidité, compte tenu d’un abattement de 15%, serait fixé à CHF 61'217.-. Il s’ensuit toutefois que le degré d’invalidité serait de 18,14% - au lieu des 13% retenus par l’OAI -, ce qui reste insuffisant pour ouvrir le droit à une rente d’invalidité (art. 28 al. 1 LAI). Le recours en conséquence ne peut être que rejeté.</w:t>
      </w:r>
    </w:p>
    <w:p>
      <w:r>
        <w:t>A/4442/2015 - 17/17 -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