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ATAS/391/2011 vom 20. April 2011</w:t>
      </w:r>
    </w:p>
    <w:p>
      <w:r>
        <w:t>GE Cour de justice, 2011-04-20, FR</w:t>
      </w:r>
    </w:p>
    <w:p>
      <w:r>
        <w:rPr>
          <w:b/>
        </w:rPr>
        <w:t xml:space="preserve">Quelle: </w:t>
      </w:r>
      <w:r>
        <w:t>https://mcp.opencaselaw.ch/entscheid/ge_gerichte_ATAS_391_2011</w:t>
      </w:r>
    </w:p>
    <w:p>
      <w:r>
        <w:t>FR: GE_GERICHTE ATAS/391/2011 du 20 avril 2011</w:t>
      </w:r>
    </w:p>
    <w:p>
      <w:r>
        <w:t>IT: GE_GERICHTE ATAS/391/2011 del 20 aprile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t>A/3047/2010 - 6/13 -</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w:t>
      </w:r>
    </w:p>
    <w:p>
      <w:r>
        <w:rPr>
          <w:b/>
        </w:rPr>
        <w:t>E. 3</w:t>
      </w:r>
    </w:p>
    <w:p>
      <w:r>
        <w:t>La décision litigieuse ayant été rendue le 10 août 2010, la LPGA s'applique au cas d'espèce. Sur le plan matériel, les faits pertinents remontant à mars 2008, il sera fait application des dispositions en vigueur dès le 1er mars 2008 (5ème révision de la LAI).</w:t>
      </w:r>
    </w:p>
    <w:p>
      <w:r>
        <w:rPr>
          <w:b/>
        </w:rPr>
        <w:t>E. 4</w:t>
      </w:r>
    </w:p>
    <w:p>
      <w:r>
        <w:t>Interjeté dans les forme et délai prescrits, le recours est recevable ( art. 60 et 61 LPGA).</w:t>
      </w:r>
    </w:p>
    <w:p>
      <w:r>
        <w:rPr>
          <w:b/>
        </w:rPr>
        <w:t>E. 5</w:t>
      </w:r>
    </w:p>
    <w:p>
      <w:r>
        <w:t>La question litigieuse consiste à déterminer si la recourante peut prétendre à l'octroi d'une rente invalidité, singulièrement si et dans quelle mesure elle présente une atteinte à la santé entraînant des conséquences sur sa capacité de travail.</w:t>
      </w:r>
    </w:p>
    <w:p>
      <w:r>
        <w:rPr>
          <w:b/>
        </w:rPr>
        <w:t>E. 6</w:t>
      </w:r>
    </w:p>
    <w:p>
      <w:r>
        <w:t>a) 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w:t>
      </w:r>
    </w:p>
    <w:p>
      <w:r>
        <w:t>A/3047/2010 - 7/13 - des prestations d'assurance (ATF 126 V 9 consid. 2b, 160 consid. 3a, 118 V 82 consid. 3a et les références). b) Conformément à l’art. 28 al. 1 LAI, en sa teneur en vigueur depuis le 1er janvier 2008 (5ème révision),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 rente est échelonnée comme suit, selon le taux d'invalidité : 40% au moins un quart, 50% au moins une demie, 60% au moins trois-quarts, 70% au moins rente entière (art. 28 al. 2 lai). Selon l'art. 29 LAI dans sa teneur depuis le 1er janvier 2008,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Le droit ne prend pas naissance tant que l’assuré peut faire valoir son droit à une indemnité journalière au sens de l’art. 22 (al. 2). La rente est versée dès le début du mois au cours duquel le droit prend naissance (al. 3). Les rentes correspondant à un taux d’invalidité inférieur à 50% ne sont versées qu’aux assurés qui ont leur domicile et leur résidence habituelle (art. 13 LPGA) en Suisse. Cette condition doit également être remplie par les proches pour lesquels une prestation est réclamée (al. 4).</w:t>
      </w:r>
    </w:p>
    <w:p>
      <w:r>
        <w:rPr>
          <w:b/>
        </w:rPr>
        <w:t>E. 7</w:t>
      </w:r>
    </w:p>
    <w:p>
      <w:r>
        <w:t>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w:t>
      </w:r>
    </w:p>
    <w:p>
      <w:r>
        <w:t>A/3047/2010 - 8/13 -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D’autre part,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w:t>
      </w:r>
    </w:p>
    <w:p>
      <w:r>
        <w:t>A/3047/2010 - 9/13 - ainsi que l’allégation de lourds handicaps malgré un environnement psychosocial intact (voir sur l’ensemble du sujet ATF 131 V 49 et les références citées ; P. HENNINGSEN, Zur Begutachtung somatoformer Störungen in: Praxis 94/2005, p. 2007 ss).</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Sans remettre en cause le principe de la libre appréciation des preuves, le</w:t>
      </w:r>
    </w:p>
    <w:p>
      <w:r>
        <w:t>A/3047/2010 - 10/13 - Tribunal fédéral des assurances a posé des lignes directrices en ce qui concerne la manière d'apprécier certains types d'expertises ou de rapports médicaux (ATF 125 V 352 ss consid. 3). c)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a ainsi jugé que l’indépendance et l’impartialité des médecins du Centre d’observation médicale de l’assurance-invalidité (COMAI) étaient garanties déjà avant l’entrée en vigueur de leur nouveau statut du 1er juin 1994 (ATF 123 V 175 ; cf. également RAMA 1999 n° U 332 p. 193). De même, il a statué qu’en matière d’assurance-accidents, l’administration et le juge des assurances sociales pouvaient, sous certaines réserves, se prononcer sur la base d’expertises réalisées par des médecins liés à l’institution d’assurance (ATF 122 V 157). La Cour européenne des droits de l’homme a d’ailleurs rejeté le recours déposé par l’assuré contre le jugement précité (arrêt Bicer contre la Suisse du 22 juin 1999 in JAAC 2000 138 1341). Selon la jurisprudence de la Cour, le fait que les experts mandatés par le tribunal soient subordonnés à l’une des parties n’est en principe pas incompatible avec l’art. 6 par. 1er de la Convention européenne des droits de l’homme qui garantit le droit à un procès équitable (JAAC 1998 95 917).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Si l'administration ou le juge, se fondant sur une appréciation consciencieuse des preuves fournies par les investigations auxquelles ils doivent procéder d'office, sont convaincus que certains faits présentent un degré de vraisemblance prépondérante</w:t>
      </w:r>
    </w:p>
    <w:p>
      <w:r>
        <w:t>A/3047/2010 - 11/13 -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En l’espèce, il résulte des rapports médicaux figurant au dossier que la recourante souffre de fibromyalgie et d’une tendinite calcifiante des épaules (cf. rapports médicaux des Drs A_____________, B_____________, C_____________ et du SMR). Sur le plan somatique, le Dr B_____________, médecin traitant, indique que la patiente présente de nombreuses limitations fonctionnelles, dans la mesure où elle doit se lever toutes les 30 minutes, s’asseoir ou se coucher chaque 10 minutes. Elle ne peut marcher plus de 15 minutes, ni exercer d’activité en position debout. Le SMR relève pour sa part que les limitations fonctionnelles sont bien respectées dans l’activité de secrétaire comptable. Les divers médecins ayant examiné la recourante ne se sont pas prononcés sur la capacité de travail (cf. rapports des Drs C_____________, D_____________, A_____________), hormis le Dr B_____________ qui considère que l’incapacité de travail est de 100 % depuis le 3 mars 2008, de 50 % du 6 octobre 2008 au 14 octobre 2008, puis de 100 % depuis le 20 octobre 2008. Au vu du diagnostic de fibromyalgie, c’est à juste titre que l’intimé a mis en œuvre un examen bi-disciplinaire et requis l’avis d’un médecin psychiatre. Sur le plan somatique, le SMR retient en substance les mêmes diagnostics que ses confrères, mais considère en revanche que la capacité de travail est complète dans l’activité habituelle qui respecte les limitations fonctionnelles osteo-articulaires. Du point de vue psychiatrique, la Dresse F_____________ relève qu’à l’examen clinique, la recourante n’a pas d’idée suicidaire, ni de trouble de la pensée, ni d’anxiété généralisée. Elle ne subit pas de perte d’intégration dans toutes les manifestations de la vie et ne présente pas de limitations fonctionnelles psychiatriques. Au vu des symptômes, le diagnostic de dysthymie d’intensité légère a été retenu, c’est-à-dire une dépression chronique de l’humeur mais dont la sévérité est insuffisante pour justifier actuellement un diagnostic de trouble dépressif récurrent, léger ou moyen. Dès lors qu’il n’y pas de comorbidité psychiatrique justifiant que la fibromyalgie soit invalidante, le SMR a conclu à une capacité de travail de 100 %, que ce soit dans l’activité habituelle ou dans une activité adaptée.</w:t>
      </w:r>
    </w:p>
    <w:p>
      <w:r>
        <w:t>A/3047/2010 - 12/13 - La recourante conteste toute valeur probante au rapport du SMR, lui reprochant en particulier de n’avoir pas discuté le critère de sévérité. Tel n’est pas l’avis de la Cour de céans. En effet, le rapport du SMR contient une anamnèse complète et détaillée, la recourante a fait l’objet d’un examen clinique somatique et psychiatrique, le status clinique est bien décrit, les plaintes de l’assurée ont été prises en compte et les limitations fonctionnelles ont été relevées sur le plan somatique. Dans l’appréciation et la discussion du cas, les médecins ont expliqué les raisons pour lesquelles les limitations fonctionnelles n’ont en l’occurrence pas de répercussion sur la capacité de travail de la recourante. Sur le plan psychiatrique, il convient de relever que la psychiatre, au vu des symptômes présentés, n’a diagnostiqué aucune affection psychiatrique invalidante, la dysthymie ne présentant en l’espèce pas une intensité suffisante pour retenir le diagnostic de trouble dépressif. Les rapports des HUG et de la Dresse G_____________ dont se prévaut la recourante retiennent certes le diagnostic d’état dépressif sévère depuis 2007 ; cela étant, force est de constater qu’ils ne contiennent pas de status clinique détaillé et que les médecins ne se prononcent pas sur les limitations fonctionnelles, ni sur la capacité de travail. Ces rapports - succincts - ne sont pas de nature à remettre en cause les conclusions claires, motivées et convaincantes du rapport du SMR qui doit se voir attribuer pleine valeur probante.</w:t>
      </w:r>
    </w:p>
    <w:p>
      <w:r>
        <w:rPr>
          <w:b/>
        </w:rPr>
        <w:t>E. 10</w:t>
      </w:r>
    </w:p>
    <w:p>
      <w:r>
        <w:t>Mal fondé, le recours est rejeté.</w:t>
      </w:r>
    </w:p>
    <w:p>
      <w:r>
        <w:rPr>
          <w:b/>
        </w:rPr>
        <w:t>E. 11</w:t>
      </w:r>
    </w:p>
    <w:p>
      <w:r>
        <w:t>Conformément à l’art. 69 al. 1 bis LAI, un émolument de 200 fr. est mis à la charge de la recourante, qui succombe.</w:t>
      </w:r>
    </w:p>
    <w:p>
      <w:r>
        <w:t>A/3047/2010 - 13/13 -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