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ATAS/391/2009 vom 31. März 2009</w:t>
      </w:r>
    </w:p>
    <w:p>
      <w:r>
        <w:t>GE Cour de justice, 2009-03-31, FR</w:t>
      </w:r>
    </w:p>
    <w:p>
      <w:r>
        <w:rPr>
          <w:b/>
        </w:rPr>
        <w:t xml:space="preserve">Quelle: </w:t>
      </w:r>
      <w:r>
        <w:t>https://mcp.opencaselaw.ch/entscheid/ge_gerichte_ATAS_391_2009</w:t>
      </w:r>
    </w:p>
    <w:p>
      <w:r>
        <w:t>FR: GE_GERICHTE ATAS/391/2009 du 31 mars 2009</w:t>
      </w:r>
    </w:p>
    <w:p>
      <w:r>
        <w:t>IT: GE_GERICHTE ATAS/391/2009 del 31 marzo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Interjeté dans les forme et délai légaux (art. 56 à 60 LPGA), le recours est recevable.</w:t>
      </w:r>
    </w:p>
    <w:p>
      <w:r>
        <w:rPr>
          <w:b/>
        </w:rPr>
        <w:t>E. 3</w:t>
      </w:r>
    </w:p>
    <w:p>
      <w:r>
        <w:t>a)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w:t>
      </w:r>
    </w:p>
    <w:p>
      <w:r>
        <w:t>A/2690/2008 - 8/18 - 2002 et la nouvelle réglementation légale après cette date (ATF 130 V 433 consid. 1 et les références). En l'espèce, la décision litigieuse, du 9 juillet 2008, est postérieure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Par contre, les dispositions de la LAI dans sa teneur en vigueur à compter du 1er janvier 2008 (5ème révision) n’ont pas à être prises en considération dans le cadre de l’examen du droit à la rente. b) 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4</w:t>
      </w:r>
    </w:p>
    <w:p>
      <w:r>
        <w:t>Sont litigieux dans le cas d’espèce le droit de la recourante à une rente de l’assurance-invalidité, singulièrement le taux d’invalidité présenté, et le droit à des mesures professionnelles, notamment sous la forme d’un reclassement.</w:t>
      </w:r>
    </w:p>
    <w:p>
      <w:r>
        <w:rPr>
          <w:b/>
        </w:rPr>
        <w:t>E. 5</w:t>
      </w:r>
    </w:p>
    <w:p>
      <w:r>
        <w:t>a) Afin de rendre sa décision, l’office intimé a soumis la recourante à une expertise pluridisciplinaire confiée au Centre d’expertise médicale de Genève. Le rapport rendu par les spécialistes de ce centre, en date du 8 juin 2007, conclut à une capacité de travail résiduelle de 5 à 6 heures quotidiennes, dans une activité adaptée, avec diminution de rendement de 20 % pour tenir compte des pauses nécessaires dues à la fatigabilité en lien avec l’affection psychiatrique. b) Est réputée invalidité l'incapacité de gain totale ou partielle présumée permanente ou de longue durée, résultant d'une infirmité congénitale, d'une maladie ou d'un accident (art. 8 al. 1 LPGA et 4 al. 1 LAI). 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w:t>
      </w:r>
    </w:p>
    <w:p>
      <w:r>
        <w:t>A/2690/2008 - 9/18 - déterminer quels travaux on peut encore, raisonnablement, exiger de l'assuré (ATF 125 V 261 consid. 4, 115 V 134 consid. 2, 114 V 314 consid. 3c, 105 V 158 consid. 1).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(judiciaire)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effet,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w:t>
      </w:r>
    </w:p>
    <w:p>
      <w:r>
        <w:t>A/2690/2008 - 10/18 -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c) Dans le cas d’espèce, force est de constater que l’expertise diligentée par l’administration remplit les conditions posées par la jurisprudence pour que lui soit accordée pleine valeur probante. Le rapport en question procède d’une analyse complète de la situation médicale de l’intéressée, qui a été examinée par de nombreux spécialistes, et tient compte de ses plaintes. Les conclusions, rendues au terme d’une évaluation consensuelle du cas, sont clairement motivées et n’apparaissent pas en contradiction avec les constatations cliniques dûment rapportées dans l’expertise. Les avis médicaux produits ultérieurement par la recourante devant l’intimé ne changent rien à cette appréciation. En effet, comme l’a exposé le SMR dans son avis du 28 mai 2008, les pathologies nouvellement mises en évidence lors d’un examen radiologique (problèmes d’épaule) avaient déjà été retenues dans leurs manifestations (examen clinique rhumatologique effectué dans le cadre de l’expertise). L’ajout d’un diagnostic, dans ces conditions, n’est d’aucune influence sur l’appréciation globale de la situation. Pour le surplus, la recourante ne remet plus véritablement en cause ladite évaluation, se référant principalement aux conclusions de l’expertise du Centre d’expertise médicale de Genève dans son mémoire de réplique. Dans ces circonstances, le Tribunal de céans s’en remettra à ces conclusions. Il convient donc de retenir que la recourante est capable de mettre à profit une capacité de travail résiduelle de 5 à 6 heures par jour, diminuée de 20% en raison d’une baisse de rendement (dont il est clairement exposé qu’elle sera à même de permettre à l’intéressée de tenir l’exigibilité fixée ; elle n’est donc pas, contrairement à ce qu’allègue l’intimé, comprise dans l’évaluation générale de la capacité de travail), dans une activité adaptée à compter de juin 2007, moment de l’expertise. Celle-ci consiste en une profession légère à mi-lourde n’impliquant pas de travaux lourds, de port de charges, de mouvements répétitifs de la tête ou du corps ; les activités en équilibre ou en hauteur, de même que le maintien d’une position constante durant le temps de travail, sont également impossibles.</w:t>
      </w:r>
    </w:p>
    <w:p>
      <w:r>
        <w:rPr>
          <w:b/>
        </w:rPr>
        <w:t>E. 6</w:t>
      </w:r>
    </w:p>
    <w:p>
      <w:r>
        <w:t>a/aa) En vertu de l’art. 28a LAI, qui peut être employé sans réserve dans le cas d’espèce eu égard au fait que son contenu reprend l’ancienne réglementation, l’art. 16 LPGA s’applique à l’évaluation de l’invalidité des assurés exerçant une activité lucrative (al. 1er). L’invalidité de l’assuré qui n’exerce pas d’activité lucrative et dont on ne peut raisonnablement exiger qu’il en entreprenne une est évaluée, en dérogation à l’art. 16 LPGA, en fonction de son incapacité à accomplir ses travaux habituels (al. 2). Lorsque l’assuré exerce une activité lucrative à temps</w:t>
      </w:r>
    </w:p>
    <w:p>
      <w:r>
        <w:t>A/2690/2008 - 11/18 -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 le taux d’invalidité est calculé dans les deux domaines d’activité (al. 3). Toutefois, lorsqu’il y a lieu d’admettre que si l’assuré ne souffrait d’aucune atteinte à la santé, il exercerait, au moment de l’examen de son droit à la rente, une activité lucrative à temps complet, l’invalidité est évaluée exclusivement selon les principes applicables aux personnes exerçant une activité lucrative (art. 27bis RAI).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a/bb) Dans le cas présent, l’assurée a travaillé, avant d’être licenciée pour fermeture des bureaux [dans lesquels elle exerçait], en qualité de femme de ménage à raison de trois heures par jour pendant plusieurs années suite au décès de son époux. Elle a ensuite bénéficié des prestations de l’assurance-chômage et a réalisé un gain intermédiaire en tant qu’employée dans le nettoyage à raison de deux heures quotidiennes. Dans le questionnaire permettant de déterminer le statut qu’elle a rempli, elle a précisé qu’en bonne santé, elle travaillerait à raison de 50 à 70 % pour des motifs financiers essentiellement. Lors de l’enquête ménagère enfin, elle a mentionné qu’elle travaillerait à temps plein si elle le pouvait. Eu égard à sa situation financière (l’assurée n’a, pour seuls revenus autres que ceux pouvant provenir de son travail, qu’une rente de veuve relativement faible) et familiale (elle partage son appartement et donc ses charges avec son fils qui a la trentaine et dont on peut considérer qu’il est susceptible de quitter à tout moment le domicile parental), on peut retenir, comme l’a fait l’intimé, qu’elle travaillerait vraisemblablement à temps plein pour subvenir à ses besoins si elle n’était pas atteinte dans sa santé. C’est dès lors le statut de personne active qui doit s’appliquer. b/aa)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Ce n'est qu'en présence de circonstances particulières qu'il peut se justifier qu'on s'en écarte et qu'on recoure aux données statistiques résultant</w:t>
      </w:r>
    </w:p>
    <w:p>
      <w:r>
        <w:t>A/2690/2008 - 12/18 - de l'Enquête suisse sur la structure des salaires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 B 80/01 du 17 octobre 2003 consid. 5.2.2 et les références, résumé dans REAS 2004 p. 239). b/bb) Dans le cas d’espèce, la recourante était au chômage avant d’être déclarée incapable de travailler par ses médecins. Il n’est donc pas possible de se fier à son dernier gain, pas plus qu’à celui qu’elle percevait auparavant. On se référera dès lors, conformément à la jurisprudence ci-dessus mentionnée, aux données émanant de l’Office fédéral de la statistique (ESS) et non à une convention collective de travail comme requis par l’intéressée. Pour l’année de comparaison déterminante (juin 2007, soit le moment à partir duquel la recourante est apte à reprendre une activité professionnelle selon expertise médicale), le revenu sans invalidité à prendre en considération se monte à 3'954 fr. 85 (salaire mensuel brut pour un travail exercé à raison de 40 heures hebdomadaires [médiane] perçu par une femme exerçant dans le domaine du nettoyage avec un niveau de qualification 4 [TA7, ligne 35], soit sans formation, en 2006 [3’729 fr.], adapté à l’horaire usuel de travail dans les entreprises en 2007 [41,8 heures pour le domaine des services collectifs et personnels ; La Vie économique 1/2-2009, tableau B9.2] et indexé selon l’indice suisse des salaires nominaux pour les femmes [ : 2417 x 2453 ; La Vie économique, 1/2- 2009, tableau B10.3]). c/aa)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w:t>
      </w:r>
    </w:p>
    <w:p>
      <w:r>
        <w:t>A/2690/2008 - 13/18 - Tribunal fédéral I 198/97 du 7 juillet 1998 consid. 3b et les références, in VSI 1998 p. 293). En l'absence d'un revenu effectivement réalisé, il convient de se référer aux données salariales, telles qu'elles résultent de l’ESS (ATF 126 V 75 consid. 3b/aa et bb p. 76). c/bb) Il convient de considérer qu'un marché équilibré du travail (sur cette notion, cf. ATF 110 V 273) est en mesure d’offrir à la recourante des postes de travail adaptés à son handicap. En effet, si l'on prend en considération l'avis des experts quant à la capacité résiduelle de travail, la situation personnelle de l'intéressée, ainsi que le large éventail d'activités simples et répétitives, n'impliquant pas de formation autre qu'une mise au courant initiale, offert par les secteurs de la production et des services, il n'est de loin pas illusoire ou irréaliste d'admettre qu'il existe un nombre significatif de métiers pouvant être exercés par l'intéressée en dépit de ses limitations fonctionnelles. Il s’ensuit que point n’est besoin de mettre en œuvre un stage d’observation professionnelle tel que demandé par la recourante pour déterminer son invalidité et le type d’activité dans laquelle elle peut faire valoir sa capacité de travail résiduelle. Dès lors, compte tenu de l'activité de substitution que pourrait exercer la recourante dans une activité légère et adaptée, le salaire de référence est celui auquel peuvent prétendre les femmes effectuant des activités simples et répétitives (niveau de qualification 4) dans le secteur privé (tous secteurs confondus), soit, en 2006, 4’019 fr. par mois (ESS 2006, TA1). Comme les salaires bruts standardisés tiennent compte d'un horaire de travail de quarante heures, durée hebdomadaire inférieure à la moyenne usuelle dans les entreprises en 2007 (41,7 heures), ce montant doit être porté à 4'189 fr. 80. Après adaptation de ce chiffre à l'évolution des salaires selon l'indice des salaires nominaux pour les femmes de l'année 2007 (x 1,6 % ; La Vie économique 1/2-2009 tableau B10.2), on obtient un revenu mensuel de 4'256 fr. 80. L’office intimé a retenu - à raison - que la recourante pouvait mettre à profit une capacité de travail résiduelle de 75 %, (l’exigibilité fixée par les médecins devant être rapportée à un plein temps de 8 heures hebdomadaires), il ne se justifie pas de s’en écarter (il est à relever que la tâche des médecins, s’ils devaient se prononcer en regard du nombre effectif d’heures travaillées dans les entreprises, serait beaucoup trop compliquée vu les fluctuations et sujette à de nombreuses erreurs possibles ; on ajoutera encore que les salaires statistiques de l’ESS sont eux aussi fondés sur une durée hebdomadaire de travail de 8 heures). Par contre, il y a lieu de déduire encore 20 % pour la diminution de rendement attestée médicalement. On obtient ainsi un revenu mensuel provisoire de 2'554 fr. 10. Conformément à la jurisprudence, il convient encore d'appliquer un facteur de réduction sur le salaire statistique qui tienne compte de l'ensemble des circonstances personnelles et professionnelles du cas particulier (ATF 126 V 75</w:t>
      </w:r>
    </w:p>
    <w:p>
      <w:r>
        <w:t>A/2690/2008 - 14/18 - consid. 5 p. 78). Vu l’âge de l’intéressée au moment déterminant - 58 ans -, son absence de formation et son niveau de scolarisation rudimentaire (4 années d’école primaire), du fait que seule une activité à temps partiel est possible, de surcroît assortie de nombreuses limitations fonctionnelles, le Tribunal estime qu’une déduction supplémentaire de 20 % est justifiée. Il s’ensuit que le revenu mensuel avec invalidité déterminant est de 2'043 fr. 30. c/cc) En conséquence, le taux d’invalidité de la recourante est de 48 %, ce qui lui ouvre le droit à un quart de rente de l’assurance-invalidité trois mois après l’amélioration de son état de santé (fin de la période des divers traitements chirurgicaux rendant toute activité impossible) constatée par les experts (cf. art. 88a al. 1 RAI), soit à compter du 1er octobre 2007. d) Pour la période s’étendant entre la fin du délai de carence (une année après le début de l’incapacité de travail durable, soit septembre 2005 ; art. 29 al. 1 let. b LAI, dans sa teneur en vigueur jusqu'au 31 décembre 2007 ; ATF 129 V 222 consid. 4.1 et 128 V 174) et le moment à partir duquel elle peut mettre en valeur sa capacité de travail résiduelle (1er octobre 2007, cf. ci-avant), la recourante doit être considérée totalement incapable de travailler, comme cela ressort tant de l’expertise diligentée par l’OCAI que de l’avis des médecins du SMR. Il suit de ce qui précède que le droit à la rente s’établit comme suit : une rente entière du 1er septembre 2005 au 30 septembre 2007, puis un quart de rente dès le 1er octobre 2007.</w:t>
      </w:r>
    </w:p>
    <w:p>
      <w:r>
        <w:rPr>
          <w:b/>
        </w:rPr>
        <w:t>E. 7</w:t>
      </w:r>
    </w:p>
    <w:p>
      <w:r>
        <w:t>La recourante requiert par ailleurs à être mise au bénéfice de mesures de réadaptation, sous la forme de mesures d’ordre professionnel, plus spécifiquement d’un reclassement dans une nouvelle profession.</w:t>
      </w:r>
    </w:p>
    <w:p>
      <w:r>
        <w:rPr>
          <w:b/>
        </w:rPr>
        <w:t>E. 8</w:t>
      </w:r>
    </w:p>
    <w:p>
      <w:r>
        <w:t>a) À teneur de l’art. 8 al.1er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Conformément à l’art. 8 al. 1bis LAI, le droit aux mesures de réadaptation n’est pas lié à l’exercice d’une activité lucrative préalable. Lors de la fixation de ces mesures, il est tenu compte de la durée probable de la vie professionnelle restante. L’art. 8 al. 3 LAI dispose que les mesures de réadaptation comprennent des mesures médicales (let. a), des mesures de réinsertion préparant à la réadaptation professionnelle (let. abis), des mesures d’ordre professionnel (orientation professionnelle, formation professionnelle initiale, reclassement, placement, aide en capital) (let. b) et l’octroi de moyens auxiliaires (let. d).</w:t>
      </w:r>
    </w:p>
    <w:p>
      <w:r>
        <w:t>A/2690/2008 - 15/18 - b) Selon l’art. 17 LAI, l’assuré a droit au reclassement dans une nouvelle profession si son invalidité rend cette mesure nécessaire et que sa capacité de gain peut ainsi, selon toute vraisemblance, être maintenue ou améliorée (al. 1er). Par reclassement, la jurisprudence entend l’ensemble des mesures de réadaptation de nature professionnelle qui sont nécessaires et suffisantes pour procurer à l’assuré une possibilité de gain à peu près équivalente à celle que lui offrait son ancienne activité.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 l’ordre de 20% (ATF 124 V 108 consid. 2b et les références). Pour statuer sur le droit à la prise en charge d’une nouvelle formation professionnelle, les préférences de l’assuré ne sont en principe pas déterminantes, mais bien plutôt le coût des mesures envisagées et leurs chances de succès, étant précisé que le but de la réadaptation est d’offrir une possibilité de gain à peu près</w:t>
      </w:r>
    </w:p>
    <w:p>
      <w:r>
        <w:t>A/2690/2008 - 16/18 - équivalente à celle dont disposait la personne assurée sans invalidité (cf. VSI 2002 p. 109 consid. 2a ; RJJ 1998 p. 281 consid. 1b et les références).</w:t>
      </w:r>
    </w:p>
    <w:p>
      <w:r>
        <w:rPr>
          <w:b/>
        </w:rPr>
        <w:t>E. 9</w:t>
      </w:r>
    </w:p>
    <w:p>
      <w:r>
        <w:t>a) Dans le cas présent, l’intimé a considéré que le respect du principe d’équivalence, de même que le défaut de motivation de la recourante, ne permettaient pas l’octroi d’une mesure de reclassement, ce que conteste l’intéressée. Celle-ci estime en outre que le fait de lui refuser un reclassement au motif qu’elle n’a pas de formation professionnelle serait une violation de l’égalité de traitement prohibée par la Constitution fédérale. b) On ne saurait voir les choses de la même manière que la recourante. Premièrement, le grief de violation de l’égalité de traitement est manifestement infondé. Le droit au reclassement doit s’apprécier en regard de nombreux critères, parmi lesquels celui de l’équivalence. L’équivalence se détermine en fonction de différents aspects, notamment celui du niveau de formation avant et après la mesure, d’où la prise en considération du parcours professionnel de la personne assurée. Le but de l’assurance-invalidité n’est en effet pas de procurer aux assurés des possibilités de perfectionnement professionnel, mais bien de maintenir leurs possibilités de gain antérieures sur le marché du travail. Dans ces circonstances, il se justifie pleinement de tenir compte de la formation dont dispose l’assuré au moment de son invalidité, étant précisé que des exceptions sont possibles lorsque rendues nécessaires par l’invalidité (octroi d’une formation de niveau supérieur indispensable au maintien d’une activité rémunérée en raison de l’atteinte à la santé). Cela permet d’éviter l’arbitraire dans les décisions d’octroi ou de refus de mesures de reclassement, au contraire de ce qu’allègue la recourante. En second lieu, au vu des limitations fonctionnelles présentées par la recourante, il y a lieu de considérer qu’un marché équilibré du travail offre un éventail de postes de travail suffisamment large et diversifié adapté à ces dernières et pour lesquels une simple mise au courant suffit. L’octroi d’une formation certifiée n’est donc pas non plus nécessaire pour ce motif. Enfin, au moment de la décision dont est recours, l’assurée avait 59 ans. Etant donné le nombre de mois, voire d’années nécessités par un reclassement, force est de constater que le temps à disposition pour faire valoir la capacité de travail dans la profession nouvellement apprise serait extrêmement bref. Le coût de la mesure serait donc en totale disproportion avec son but. En pareilles circonstances, c’est à bon droit que l’office intimé a nié le droit de la recourante à une mesure de reclassement, ce d’autant plus que l’intéressée, quand bien même elle déclare le contraire, ne fait preuve d’aucune motivation réelle pour la reprise d’une activité, mettant sans cesse en avant ses limitations fonctionnelles, traitements médicaux et autres empêchements. Si elle était réellement intéressée à faire valoir sa capacité de travail, elle n’aurait pas fait reporter à deux reprises la</w:t>
      </w:r>
    </w:p>
    <w:p>
      <w:r>
        <w:t>A/2690/2008 - 17/18 - mise en place éventuelle d’un stage et elle aurait d’ores et déjà requis le bénéfice de l’aide au placement. Comme l’OCAI l’indique très justement, seule une telle prestation apparaît adéquate dans le présent cas. Eu égard à ce qui vient d’être relaté, elle ne sera toutefois pas ordonnée, la recourante demeurant libre de faire valoir son droit à une aide au placement lorsqu’elle fera preuve d’intérêt réel pour cette prestation.</w:t>
      </w:r>
    </w:p>
    <w:p>
      <w:r>
        <w:rPr>
          <w:b/>
        </w:rPr>
        <w:t>E. 10</w:t>
      </w:r>
    </w:p>
    <w:p>
      <w:r>
        <w:t>Il suit de tout ce qui précède que le recours est partiellement admis, en ce sens que la rente entière d’invalidité est prolongée jusqu’au 30 septembre 2007 pour être ensuite remplacée par un quart de rente. L’intimé, qui succombe, supportera les frais de justice, fixés à 200 fr., et versera une indemnité de dépens de 1'000 fr. à la recourante.</w:t>
      </w:r>
    </w:p>
    <w:p>
      <w:r>
        <w:t>A/2690/2008 - 18/18 -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