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ATAS/390/2013 vom 23. April 2013</w:t>
      </w:r>
    </w:p>
    <w:p>
      <w:r>
        <w:t>GE Cour de justice, 2013-04-23, FR</w:t>
      </w:r>
    </w:p>
    <w:p>
      <w:r>
        <w:rPr>
          <w:b/>
        </w:rPr>
        <w:t xml:space="preserve">Quelle: </w:t>
      </w:r>
      <w:r>
        <w:t>https://mcp.opencaselaw.ch/entscheid/ge_gerichte_ATAS_390_2013</w:t>
      </w:r>
    </w:p>
    <w:p>
      <w:r>
        <w:t>FR: GE_GERICHTE ATAS/390/2013 du 23 avril 2013</w:t>
      </w:r>
    </w:p>
    <w:p>
      <w:r>
        <w:t>IT: GE_GERICHTE ATAS/390/2013 del 23 aprile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La LPGA, entrée en vigueur le 1er janvier 2003 et la LAI, dans sa teneur en vigueur dès le 1er janvier 2008, sont applicables.</w:t>
      </w:r>
    </w:p>
    <w:p>
      <w:r>
        <w:t>A/2839/2011 - 11/15 -</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taux d'incapacité de travail de l'assurée et, en conséquence, sur son droit à des prestations d'invalidité.</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w:t>
      </w:r>
    </w:p>
    <w:p>
      <w:r>
        <w:t>A/2839/2011 - 12/15 -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 Le juge des assurances sociales fonde sa décision, sauf dispositions contraires de la loi, sur les faits qui, faute d’être établis de manière irréfutable, apparaissent comme les plus vraisemblables, c’est-à-dire qui présentent un degré de</w:t>
      </w:r>
    </w:p>
    <w:p>
      <w:r>
        <w:t>A/2839/2011 - 13/15 -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compte tenu des contradictions importantes entre les conclusions du Dr T_________, psychiatre mandaté par l'OAI, et celles du Dr L_________, psychiatre traitant de l'assurée, concernant non seulement la capacité de travail de l'assurée, mais également l'analyse des divers diagnostics retenus, la Cour de céans a ordonné une expertise judiciaire, auprès du Dr F_________, psychiatre. Cette expertise repose sur un examen de l'assurée, de plus de trois heures, au cours de deux entretiens, et sur l'étude de son dossier médical. L'anamnèse est détaillée et les plaintes de la patiente sont prises en considération. Les conclusions de l'expertise sont bien motivées, de sorte qu'il y a lieu de reconnaître une pleine valeur probante à ce rapport d'expertise.</w:t>
      </w:r>
    </w:p>
    <w:p>
      <w:r>
        <w:t>L'OAI persiste à estimer que l'expertise du Dr T_________ est plus convaincante que celle du Dr F_________, qui contiendrait des contradictions. Il convient donc d'examiner si l'avis de l'expert administratif est en mesure de mettre sérieusement en doute la pertinence des conclusions de l'expert judiciaire.</w:t>
      </w:r>
    </w:p>
    <w:p>
      <w:r>
        <w:t>Les deux experts concordent s'agissant des diagnostics psychiatriques retenus, sous réserve de l'anorexie diagnostiquée par le Dr F_________ et de l'état de stress post- traumatique envisagé par le Dr T__________ mais exclu par le Dr F_________. Le Dr F__________ retient que l'ensemble des éléments et leur intensité impliquent une limitation de la capacité de travail à 80% dans toute activité adaptée, alors que le Dr T__________ estime que la capacité de travail est entière. Cela étant, contrairement à l'avis du SMR transmis par l'OAI le 18 mars 2013, l'expertise du Dr F__________ n'est entachée d'aucune contradiction. Si l'expert retient en effet que la dysthymie seule, de même que le trouble somatoforme douloureux, à défaut de comorbidité grave, ne sont pas incapacitants, il expose de façon convaincante que cet ensemble de comorbidités s'est développé autour du trouble de la personnalité émotionnellement labile de type borderline, qui est une atteinte psychique sévère et difficile à traiter, l'ensemble du tableau clinique limitant la capacité de travail de 20% dans toute activité. Le fait que le travail accompli sur le plan thérapeutique ait permis, depuis deux ans, d'éviter des décompensations majeures, de maintenir à une intensité légère le trouble de l'humeur et de stabiliser le trouble alimentaire, ne permet pas pour autant, comme le soutient le SMR, d'exclure toute limitation de la capacité de travail par l'association des divers troubles psychiatriques retenus par l'expert.</w:t>
      </w:r>
    </w:p>
    <w:p>
      <w:r>
        <w:t>A/2839/2011 - 14/15 -</w:t>
      </w:r>
    </w:p>
    <w:p>
      <w:r>
        <w:t>La Cour de céans estime donc que les conclusions du Dr F__________ sont convaincantes et que rien ne justifie de s'en écarter.</w:t>
      </w:r>
    </w:p>
    <w:p>
      <w:r>
        <w:t>Cela étant, la capacité de travail retenue par l'expert étant la même dans toute activité, y compris celle d'assistante en pharmacie que l'assurée continue à exercer à 50%, le taux d'invalidité se confond avec le taux d'incapacité de travail, soit 20%. Ce taux n'ouvre pas de droit à une rente. Au demeurant, s'il ouvre théoriquement le droit à des mesures de réadaptation, celles-ci ne sont ni indiquées par l'expert, ni justifiées, dès lors que rien ne permet de retenir qu'une réorientation dans une nouvelle activité permettrait d'améliorer la capacité de gain de l'assurée, sa capacité restant limitée à 80%. La recourante a au demeurant déjà entrepris une formation en comptabilité et terminé une formation en informatique, de sorte que si tel est son souhait, elle peut changer d'activité sans recours à des mesures de l'assurance- invalidité.</w:t>
      </w:r>
    </w:p>
    <w:p>
      <w:r>
        <w:rPr>
          <w:b/>
        </w:rPr>
        <w:t>E. 9</w:t>
      </w:r>
    </w:p>
    <w:p>
      <w:r>
        <w:t>Le recours, mal fondé sera rejeté. Etant donné que, depuis le 1er juillet 2006, la procédure n'est plus gratuite (art. 69 al. 1bis LAI), mais que la recourante plaide au bénéfice de l'assistance judiciaire, aucun émolument ne sera mis à sa charge, malgré l'issue du recours.</w:t>
      </w:r>
    </w:p>
    <w:p>
      <w:r>
        <w:t>A/2839/2011 - 15/15 -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