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ATAS/38/2023 vom 25. Januar 2023</w:t>
      </w:r>
    </w:p>
    <w:p>
      <w:r>
        <w:t>GE Cour de justice, 2023-01-25, FR</w:t>
      </w:r>
    </w:p>
    <w:p>
      <w:r>
        <w:rPr>
          <w:b/>
        </w:rPr>
        <w:t xml:space="preserve">Quelle: </w:t>
      </w:r>
      <w:r>
        <w:t>https://mcp.opencaselaw.ch/entscheid/ge_gerichte_ATAS_38_2023</w:t>
      </w:r>
    </w:p>
    <w:p>
      <w:r>
        <w:t>FR: GE_GERICHTE ATAS/38/2023 du 25 janvier 2023</w:t>
      </w:r>
    </w:p>
    <w:p>
      <w:r>
        <w:t>IT: GE_GERICHTE ATAS/38/2023 del 25 gennaio 2023</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L’assurance en cause dans le litige déféré à la chambre de céans est une assurance de perte de salaire en cas de maladie selon la LCA, comme cela ressort de la police d’assurance conclue par l’employeuse de la demanderesse et des conditions générales d’assurance (CGA) de la défenderesse.</w:t>
      </w:r>
    </w:p>
    <w:p>
      <w:r>
        <w:t>A/3282/2022 - 3/4 - La compétence de la chambre de céans à raison de la matière pour juger du cas d’espèce est ainsi établie.</w:t>
      </w:r>
    </w:p>
    <w:p>
      <w:r>
        <w:rPr>
          <w:b/>
        </w:rPr>
        <w:t>E. 1.2</w:t>
      </w:r>
    </w:p>
    <w:p>
      <w:r>
        <w:t>Selon la police d’assurance, le contrat est régi par la LCA. L’art. 27 des CGA de la défenderesse prescrit qu’en cas de contestation, l’ayant droit peut choisir pour for son lieu de travail habituel. La demanderesse étant domiciliée à Genève, la chambre de céans est compétente à raison du lieu pour connaître de la présente demande.</w:t>
      </w:r>
    </w:p>
    <w:p>
      <w:r>
        <w:rPr>
          <w:b/>
        </w:rPr>
        <w:t>E. 2.1</w:t>
      </w:r>
    </w:p>
    <w:p>
      <w:r>
        <w:t>L’action tendant au paiement d'une somme d'argent doit être chiffrée conformément à l’art. 84 al. 2 CPC. Le chiffrement des actions en paiement d'une somme d'argent compte parmi les conditions de recevabilité (arrêt du Tribunal fédéral 4A 618/2017 du 11 janvier 2018 ; ATF 134 III 235). Exceptionnellement, des conclusions non chiffrées suffisent lorsque la somme à allouer est d’emblée reconnaissable au regard de la motivation du recours ou de la décision attaquée (arrêt du Tribunal fédéral 5A_11/2014 du 3 juillet 2014 consid. 1.2). Toutefois, dans deux causes en matière d’assurance d’indemnités journalières en cas de maladie, le Tribunal fédéral a jugé irrecevables les conclusions d’assurés tendant simplement aux « prestations découlant du contrat d’assurance » (ATF 134 III 235 consid. 2) ou ordonnant « à [l’assurance] de calculer et de verser l’indemnité journalière en cas de maladie au demandeur dès le 30 août 2004 » (arrêt du Tribunal fédéral 4A_107/2008 du 5 juin 2008 consid. 2.2). L'art. 132 CPC, qui permet au juge d'accorder un délai au demandeur pour rectifier un vice de forme, ne s'applique pas en présence de conclusions non chiffrées (arrêts du Tribunal fédéral 4A 618/2017 précité et 4A 659/2011 du</w:t>
      </w:r>
    </w:p>
    <w:p>
      <w:r>
        <w:rPr>
          <w:b/>
        </w:rPr>
        <w:t>E. 2.2</w:t>
      </w:r>
    </w:p>
    <w:p>
      <w:r>
        <w:t>En l’espèce, en concluant dans sa demande du 7 octobre 2022 à la condamnation de la défenderesse au paiement d’indemnités journalières du 13 mars au 1er juillet 2022, la demanderesse n'a pas respecté les conditions de forme de la demande. Un délai pour réparer ce vice de forme, au sens de l'art. 132 CPC, ne peut lui être imparti. 3. La demande ne peut, en conséquence, qu'être déclarée irrecevable. La demande modifiée du 29 décembre 2022 sera traitée comme une nouvelle demande prenant effet au jour du présent arrêt. La procédure est gratuite (art. 22 al. 3 let. b de la loi d'application du code civil suisse et d'autres lois fédérales en matière civile du 11 octobre 2012 [LaCC - E 1 05]).</w:t>
      </w:r>
    </w:p>
    <w:p>
      <w:r>
        <w:t>A/3282/2022 - 4/4 - PAR CES MOTIFS, LA CHAMBRE DES ASSURANCES SOCIALES : Statuant À la forme :</w:t>
      </w:r>
    </w:p>
    <w:p>
      <w:r>
        <w:rPr>
          <w:b/>
        </w:rPr>
        <w:t>E. 7</w:t>
      </w:r>
    </w:p>
    <w:p>
      <w:r>
        <w:t>décembre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