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ATAS/38/2021 vom 26. Januar 2021</w:t>
      </w:r>
    </w:p>
    <w:p>
      <w:r>
        <w:t>GE Cour de justice, 2021-01-26, FR</w:t>
      </w:r>
    </w:p>
    <w:p>
      <w:r>
        <w:rPr>
          <w:b/>
        </w:rPr>
        <w:t xml:space="preserve">Quelle: </w:t>
      </w:r>
      <w:r>
        <w:t>https://mcp.opencaselaw.ch/entscheid/ge_gerichte_ATAS_38_2021</w:t>
      </w:r>
    </w:p>
    <w:p>
      <w:r>
        <w:t>FR: GE_GERICHTE ATAS/38/2021 du 26 janvier 2021</w:t>
      </w:r>
    </w:p>
    <w:p>
      <w:r>
        <w:t>IT: GE_GERICHTE ATAS/38/2021 del 26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Interjeté dans les forme et délai prévus par la loi, le recours est recevable (art. 56ss LPGA et 62ss de la loi sur la procédure administrative du 12 septembre 1985 [LPA-GE - E 5 10]).</w:t>
      </w:r>
    </w:p>
    <w:p>
      <w:r>
        <w:rPr>
          <w:b/>
        </w:rPr>
        <w:t>E. 4</w:t>
      </w:r>
    </w:p>
    <w:p>
      <w:r>
        <w:t>Le litige porte sur la question de savoir si le recourant a droit à une rente d’invalidité.</w:t>
      </w:r>
    </w:p>
    <w:p>
      <w:r>
        <w:rPr>
          <w:b/>
        </w:rPr>
        <w:t>E. 5</w:t>
      </w:r>
    </w:p>
    <w:p>
      <w:r>
        <w:t>L’autorité administrative doit constater d’office les faits déterminants, c’est-à-dire toutes les circonstances dont dépend l’application des règles de droit (ATF 117 V 261 consid. 3 p. 263 ; T. LOCHER, Grundriss des Sozialversicherungsrecht, Bern 1994, t. 1, p. 438). Ainsi, l’administration est tenue d’ordonner une instruction complémentaire lorsque les allégations des parties et les éléments ressortant du dossier requièrent une telle mesure (ATF 117 V 282 consid. 4a p. 283 ; RAMA 1985 p. 240 consid. 4 ; LOCHER loc. cit.).</w:t>
      </w:r>
    </w:p>
    <w:p>
      <w:r>
        <w:t>A/3574/2020 - 3/4 -</w:t>
      </w:r>
    </w:p>
    <w:p>
      <w:r>
        <w:rPr>
          <w:b/>
        </w:rPr>
        <w:t>E. 6</w:t>
      </w:r>
    </w:p>
    <w:p>
      <w:r>
        <w:t>De son côté, le juge qui considère que les faits ne sont pas suffisamment élucidés peut renvoyer la cause à l’administration pour complément d’instruction ou procéder lui-même à une telle instruction complémentaire (RAMA 1993 p. 136).</w:t>
      </w:r>
    </w:p>
    <w:p>
      <w:r>
        <w:rPr>
          <w:b/>
        </w:rPr>
        <w:t>E. 7</w:t>
      </w:r>
    </w:p>
    <w:p>
      <w:r>
        <w:t>En l’espèce, il apparaît qu’une instruction complémentaire est sollicitée par le recourant et que l’intimé la juge nécessaire.</w:t>
      </w:r>
    </w:p>
    <w:p>
      <w:r>
        <w:rPr>
          <w:b/>
        </w:rPr>
        <w:t>E. 8</w:t>
      </w:r>
    </w:p>
    <w:p>
      <w:r>
        <w:t>La cause n’étant dès lors pas en état d’être jugée, il convient de donner suite à la proposition de l’intimé et de lui renvoyer la cause pour instruction complémentaire puis nouvelle décision, étant rappelé qu’en vertu de l’art. 53 al. 3 LPGA, l’assureur peut reconsidérer une décision contre laquelle un recours est formé jusqu’à l’envoi de son préavis. En l’occurrence, l’intimé a proposé le renvoi du dossier et, partant, l’admission partielle du recours, sans toutefois rendre de décision formelle en ce sens.</w:t>
      </w:r>
    </w:p>
    <w:p>
      <w:r>
        <w:rPr>
          <w:b/>
        </w:rPr>
        <w:t>E. 9</w:t>
      </w:r>
    </w:p>
    <w:p>
      <w:r>
        <w:t>Le recourant qui obtient gain de cause a droit au remboursement de ses frais et dépens ainsi que de ceux de son mandataire. Tel est le cas en l’espèce, dès lors que l’intimé a admis que l’instruction du dossier nécessitait d’être complétée. Des dépens seront donc alloués au recourant à hauteur de CHF 1'000.-, compte tenu du travail exécuté par son conseil.</w:t>
      </w:r>
    </w:p>
    <w:p>
      <w:r>
        <w:rPr>
          <w:b/>
        </w:rPr>
        <w:t>E. 10</w:t>
      </w:r>
    </w:p>
    <w:p>
      <w:r>
        <w:t>La chambre de céans renoncera à percevoir un émolument de procédure. * * * * * *</w:t>
      </w:r>
    </w:p>
    <w:p>
      <w:r>
        <w:t>A/3574/2020 - 4/4 - PAR CES MOTIFS, LA CHAMBRE DES ASSURANCES SOCIALES : Statuant À la forme : 1. Déclare le recours recevable. Au fond : 2. L’admet partiellement au sens des considérants. 3. Renvoie la cause à l’intimé pour instruction complémentaire et nouvelle décision. 4. Met un émolument de CHF 1'000.- à la charge de l’intimé,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