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ATAS/389/2020 vom 14. Mai 2020</w:t>
      </w:r>
    </w:p>
    <w:p>
      <w:r>
        <w:t>GE Cour de justice, 2020-05-14, FR</w:t>
      </w:r>
    </w:p>
    <w:p>
      <w:r>
        <w:rPr>
          <w:b/>
        </w:rPr>
        <w:t xml:space="preserve">Quelle: </w:t>
      </w:r>
      <w:r>
        <w:t>https://mcp.opencaselaw.ch/entscheid/ge_gerichte_ATAS_389_2020</w:t>
      </w:r>
    </w:p>
    <w:p>
      <w:r>
        <w:t>FR: GE_GERICHTE ATAS/389/2020 du 14 mai 2020</w:t>
      </w:r>
    </w:p>
    <w:p>
      <w:r>
        <w:t>IT: GE_GERICHTE ATAS/389/2020 del 14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831.10). Sa compétence pour juger du cas d’espèce est ainsi établie.</w:t>
      </w:r>
    </w:p>
    <w:p>
      <w:r>
        <w:rPr>
          <w:b/>
        </w:rPr>
        <w:t>E. 2</w:t>
      </w:r>
    </w:p>
    <w:p>
      <w:r>
        <w:t>Interjeté dans le délai et la forme requis, le recours est recevable (art. 60 LPGA et 89B de la loi sur la procédure administrative du 12 septembre 1985; LPA - E 5 10).</w:t>
      </w:r>
    </w:p>
    <w:p>
      <w:r>
        <w:rPr>
          <w:b/>
        </w:rPr>
        <w:t>E. 3</w:t>
      </w:r>
    </w:p>
    <w:p>
      <w:r>
        <w:t>Le litige porte sur le bien-fondé des intérêts moratoires inclus dans les décisions du</w:t>
      </w:r>
    </w:p>
    <w:p>
      <w:r>
        <w:rPr>
          <w:b/>
        </w:rPr>
        <w:t>E. 8</w:t>
      </w:r>
    </w:p>
    <w:p>
      <w:r>
        <w:t>Pour le surplus, la procédure est gratuite (art. 61 let. a LPGA).</w:t>
      </w:r>
    </w:p>
    <w:p>
      <w:r>
        <w:t>A/1492/2019 - 9/9 -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