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ATAS/389/2019 vom 2. Mai 2019</w:t>
      </w:r>
    </w:p>
    <w:p>
      <w:r>
        <w:t>GE Cour de justice, 2019-05-02, FR</w:t>
      </w:r>
    </w:p>
    <w:p>
      <w:r>
        <w:rPr>
          <w:b/>
        </w:rPr>
        <w:t xml:space="preserve">Quelle: </w:t>
      </w:r>
      <w:r>
        <w:t>https://mcp.opencaselaw.ch/entscheid/ge_gerichte_ATAS_389_2019</w:t>
      </w:r>
    </w:p>
    <w:p>
      <w:r>
        <w:t>FR: GE_GERICHTE ATAS/389/2019 du 2 mai 2019</w:t>
      </w:r>
    </w:p>
    <w:p>
      <w:r>
        <w:t>IT: GE_GERICHTE ATAS/389/2019 del 2 maggio 2019</w:t>
      </w:r>
    </w:p>
    <w:p>
      <w:pPr>
        <w:pStyle w:val="Heading2"/>
      </w:pPr>
      <w:r>
        <w:t>Volltext</w:t>
      </w:r>
    </w:p>
    <w:p>
      <w:r>
        <w:t>Siégeant : Karine STECK, Présidente ; Diane BROTO et Christine LUZZATTO, Juges assesseurs</w:t>
      </w:r>
    </w:p>
    <w:p>
      <w:r>
        <w:t>RÉPUBLIQUE ET</w:t>
      </w:r>
    </w:p>
    <w:p>
      <w:r>
        <w:t>CANTON DE GEN ÈVE POUVOIR JUDICIAIRE</w:t>
      </w:r>
    </w:p>
    <w:p>
      <w:r>
        <w:t>A/895/2019 ATAS/389/2019 COUR DE JUSTICE Chambre des assurances sociales Arrêt du 2 mai 2019 3ème Chambre</w:t>
      </w:r>
    </w:p>
    <w:p>
      <w:r>
        <w:t>En la cause Monsieur A______, domicilié à GENÈVE recourant</w:t>
      </w:r>
    </w:p>
    <w:p>
      <w:r>
        <w:t>contre OFFICE DE L'ASSURANCE-INVALIDITE DU CANTON DE GENEVE, Service juridique, rue des Gares 12, GENÈVE intimé</w:t>
      </w:r>
    </w:p>
    <w:p>
      <w:r>
        <w:t>A/895/2019 - 2/3 -</w:t>
      </w:r>
    </w:p>
    <w:p>
      <w:r>
        <w:t>ATTENDU EN FAIT</w:t>
      </w:r>
    </w:p>
    <w:p>
      <w:r>
        <w:t>Que par décision du 7 février 2019, l’Office cantonal de l’assurance-invalidité (ci- après : OAI) a reconnu à Monsieur A______ (ci-après : l’assuré), à compter de février 2018, le droit à une demi-rente d’invalidité ; Que par écriture du 4 mars 2019, l’assuré a interjeté recours contre cette décision en contestant le refus de l’OAI de lui accorder des mesures professionnelles ; Qu’invité à se déterminer, l’intimé, dans sa réponse du 18 avril 2019, a indiqué qu’après réexamen du dossier, il concluait principalement à l’annulation de la décision litigieuse et au renvoi du dossier pour instruction complémentaire et nouvelle décision ; qu’en effet, il était apparu que la capacité de travail de l’assuré n’avait fait l’objet d’aucun examen préalable du Service médical régional, que l’instruction, sur ce point, était lacunaire, les avis des médecins étant contradictoires, qu’au surplus, le dossier n’avait pas été examiné sous l’angle de la réadaptation professionnelle et qu’enfin, le calcul du degré d’invalidité se révélait erroné ;</w:t>
      </w:r>
    </w:p>
    <w:p>
      <w:r>
        <w:t>CONSIDERANT EN DROIT</w:t>
      </w:r>
    </w:p>
    <w:p>
      <w:r>
        <w:t>Que conformément à l'art. 134 al. 1 let. a ch. 2 de la loi sur l'organisation judiciaire, du 9 octobre 2009 (LOJ; RS E 2 05),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vertu de l’art. 53 al. 3 LPGA, l’assureur peut reconsidérer une décision contre laquelle un recours est formé jusqu’à l’envoi de son préavis ; Qu'en l'occurrence, l'intimé a ainsi proposé le renvoi du dossier et, partant, l’admission partielle du recours, sans rendre de décision formelle en ce sens ; Qu'il convient dès lors de rendre un arrêt en ce sens. ***</w:t>
      </w:r>
    </w:p>
    <w:p>
      <w:r>
        <w:t>A/895/2019 - 3/3 - PAR CES MOTIFS, LA CHAMBRE DES ASSURANCES SOCIALES : A la forme 1. Déclare le recours recevable. Au fond: 2. L'admet partiellement. 3. Annule la décision du 7 février 2019. 4. Renvoie la cause à l’OAI pour instruction complémentaire et nouvelle décision.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