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ATAS/389/2011 vom 3. Februar 2009</w:t>
      </w:r>
    </w:p>
    <w:p>
      <w:r>
        <w:t>GE Cour de justice, 2009-02-03, FR</w:t>
      </w:r>
    </w:p>
    <w:p>
      <w:r>
        <w:rPr>
          <w:b/>
        </w:rPr>
        <w:t xml:space="preserve">Quelle: </w:t>
      </w:r>
      <w:r>
        <w:t>https://mcp.opencaselaw.ch/entscheid/ge_gerichte_ATAS_389_2011</w:t>
      </w:r>
    </w:p>
    <w:p>
      <w:r>
        <w:t>FR: GE_GERICHTE ATAS/389/2011 du 3 février 2009</w:t>
      </w:r>
    </w:p>
    <w:p>
      <w:r>
        <w:t>IT: GE_GERICHTE ATAS/389/2011 del 3 febbraio 2009</w:t>
      </w:r>
    </w:p>
    <w:p>
      <w:pPr>
        <w:pStyle w:val="Heading2"/>
      </w:pPr>
      <w:r>
        <w:t>Erwägungen</w:t>
      </w:r>
    </w:p>
    <w:p>
      <w:r>
        <w:rPr>
          <w:b/>
        </w:rPr>
        <w:t>E. 1</w:t>
      </w:r>
    </w:p>
    <w:p>
      <w:r>
        <w:t>Conformément à l'art. 56 V al. 1 let. a ch. 3 et al. 2 let. a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la loi fédérale sur les prestations complémentaires à l’AVS et à l’AI, du 6 octobre 2006 (loi sur les prestations complémentaires, LPC ; RS 831.30) , ainsi que celles prévues à l’art. 43 de la loi cantonale sur les prestations cantonales complémentaires à l’assurance-vieillesse et survivants et à l’assurance-invalidité, du 25 octobre 1968 (LPCC ; RS J 7 15 ). Dès le 1er janvier 2011, cette compétence revient à la Chambre des assurances sociales de la Cour de justice, laquelle reprend la procédure pendante devant le Tribunal cantonal des assurances sociales (art. 143 al. 6 de la LOJ du 9 octobre 2009).</w:t>
      </w:r>
    </w:p>
    <w:p>
      <w:r>
        <w:t>A/2218/2010 - 6/9 -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w:t>
      </w:r>
    </w:p>
    <w:p>
      <w:r>
        <w:rPr>
          <w:b/>
        </w:rPr>
        <w:t>E. 4</w:t>
      </w:r>
    </w:p>
    <w:p>
      <w:r>
        <w:t>Déposé dans les forme et délai imposés par la loi, le présent recours est recevable (cf. ég. art. 89B de la loi sur la procédure administrative, du 12 septembre 1985 - LPA ; RS E 5 10).</w:t>
      </w:r>
    </w:p>
    <w:p>
      <w:r>
        <w:rPr>
          <w:b/>
        </w:rPr>
        <w:t>E. 5</w:t>
      </w:r>
    </w:p>
    <w:p>
      <w:r>
        <w:t>Le litige porte sur la prise en compte du capital de prévoyance au regard de la loi cantonale sur les prestations complémentaires, plus particulièrement sur les conséquences du choix du capital de prévoyance professionnelle en lieu et place de la rente. L’intimé a en effet refusé l’octroi de prestations complémentaires cantonales, motif pris que si les conjoins avaient utilisé le capital à un but de prévoyance à hauteur de 39'802 fr. 75, il devrait subsister encore un montant de 83'373 fr. 80 sur le capital LPP.</w:t>
      </w:r>
    </w:p>
    <w:p>
      <w:r>
        <w:rPr>
          <w:b/>
        </w:rPr>
        <w:t>E. 6</w:t>
      </w:r>
    </w:p>
    <w:p>
      <w:r>
        <w:t>Le droit cantonal, contrairement au droit fédéral, précise en son art. 2 al. 4 LPCC que les personnes qui ont choisi au moment de la retraite un capital de prévoyance professionnelle en lieu et place d’une rente et qui l’ont consacré à un autre but que celui de la prévoyance ne peuvent bénéficier des prestations. Le but de prévoyance au sens de la disposition précitée est réalisé notamment lorsque le capital est utilisé pour constituer une rente viagère ou acquérir une résidence principale.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w:t>
      </w:r>
    </w:p>
    <w:p>
      <w:r>
        <w:t>A/2218/2010 - 7/9 -</w:t>
      </w:r>
    </w:p>
    <w:p>
      <w:r>
        <w:t>La jurisprudence cantonale (cf. arrêt A.B. de la Commission cantonale de recours AVS/AI/APG/PCF/PCC - alors compétente- du 13 février 2002 en la cause 197/01) a ainsi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Par ailleurs,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a à cet égard déjà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avaient abouti à des saisies. La disposition légale en question repose en effet sur une fiction que le juge est tenue d’appliquer. De même, l’on ne saurait se référer au calcul relatif aux biens dessaisis (ATAS/755/2005). S'il s'avérait qu’au moment de sa demande l'assuré n’aurait pas encore épuisé son capital s’il l’avait utilisé à la couverture de ses besoins vitaux ainsi qu’à ceux de sa famille, le droit aux prestations complémentaires cantonales devrait être nié. Le manque nécessaire à la couverture des besoins vitaux doit être, le cas échéant, couvert par les prestations d’assistance (cf. ATAS 1583/2009).</w:t>
      </w:r>
    </w:p>
    <w:p>
      <w:r>
        <w:rPr>
          <w:b/>
        </w:rPr>
        <w:t>E. 7</w:t>
      </w:r>
    </w:p>
    <w:p>
      <w:r>
        <w:t>Il n’est pas contesté en l’occurrence que l’épouse du recourant a perçu en date du 5 décembre 1997 un capital de prévoyance net, après paiement des impôts y relatifs, de 123'176 fr. 55. Reste à examiner si et dans quelle mesure ce capital a été utilisé à un but de prévoyance.</w:t>
      </w:r>
    </w:p>
    <w:p>
      <w:r>
        <w:rPr>
          <w:b/>
        </w:rPr>
        <w:t>E. 8</w:t>
      </w:r>
    </w:p>
    <w:p>
      <w:r>
        <w:t>Selon les constatations de l’intimé, au demeurant non contestées, de 1998 à 2002, les revenus bruts du couple comportaient notamment le salaire du recourant (environ 75'000 à 80’000 fr. bruts par an). Partant, ils étaient largement suffisants pour couvrir les besoins vitaux du couple, qui s’élevaient entre 32'951 fr. et 33'750 fr. selon les montants prévus par le droit cantonal durant ces années-là. Les autres dépenses effectuées par le recourant et son épouse (achat de mobilier, voiture, meubles, etc.) n’étaient ainsi à l’évidence pas destinées à couvrir les besoins vitaux. Sur ce point, la décision de l’intimé est fondée. Pour les années 2003 à 2010, l’intimé a repris les calculs prenant en compte les rentes AVS, LPP et en intégrant dans les dépenses les montants des frais médicaux à charge du recourant, tels qu’il résultent des déclarations fiscales, ainsi que les frais de dentiste justifiés par factures. Les documents produits par le recourant ne permettent pas de s’écarter des chiffres retenus par l’intimé, ce d’autant moins que</w:t>
      </w:r>
    </w:p>
    <w:p>
      <w:r>
        <w:t>A/2218/2010 - 8/9 - les frais médicaux figurant sur les relevés fiscaux incluent déjà les frais de dentiste. Pour le surplus, il sied de rappeler que les autres dépenses effectuées ne peuvent être considérées comme destinées à couvrir les besoins vitaux. Cela étant, force est de constater que les calculs détaillés effectués par l’intimé démontrent que si le recourant et son épouse avaient utilisé le capital LPP dans un but de prévoyance, il devrait encore rester à leur disposition un montant de l’ordre de 57'213 fr, 55 au 31 octobre 2010. Or, au 31 décembre 2009, le solde du compte s’élevait à 16'462 fr. 05. Au vu de ce qui précède, force est de constater que l’application de l’art. 2 al. 4 LPCC présente en conséquence encore, en 2010, date du dépôt de la nouvelle demande, un obstacle en soi à l’octroi de prestations cantonales complémentaires, puisque le capital n’aurait pas été épuisé. Le droit à des prestations cantonales complémentaires doit dès lors être, en l’état, nié.</w:t>
      </w:r>
    </w:p>
    <w:p>
      <w:r>
        <w:t>A/2218/2010 - 9/9 -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