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ATAS/389/2010 vom 19. April 2010</w:t>
      </w:r>
    </w:p>
    <w:p>
      <w:r>
        <w:t>GE Cour de justice, 2010-04-19, FR</w:t>
      </w:r>
    </w:p>
    <w:p>
      <w:r>
        <w:rPr>
          <w:b/>
        </w:rPr>
        <w:t xml:space="preserve">Quelle: </w:t>
      </w:r>
      <w:r>
        <w:t>https://mcp.opencaselaw.ch/entscheid/ge_gerichte_ATAS_389_2010</w:t>
      </w:r>
    </w:p>
    <w:p>
      <w:r>
        <w:t>FR: GE_GERICHTE ATAS/389/2010 du 19 avril 2010</w:t>
      </w:r>
    </w:p>
    <w:p>
      <w:r>
        <w:t>IT: GE_GERICHTE ATAS/389/2010 del 19 aprile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du recourant à des mesures de réadaptation, le recourant n’ayant pas conclu à l’octroi d’une rente, suite à sa demande du 28 août 2008. La loi fédérale sur la partie générale du droit des assurances sociales du 6 octobre 2000 (LPGA) est entrée en vigueur le 1er janvier</w:t>
      </w:r>
    </w:p>
    <w:p>
      <w:r>
        <w:t>A/3927/2009 - 6/13 - 2003 et s’applique donc au cas d’espèce. Tel est également le cas des modifications de la LAI du 21 mars 2003 (4ème révision), entrées en vigueur le 1er janvier 2004 (RO 2003 3852) ainsi que des modifications de la LAI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1er septembre 2009, qui a été confirmé par la décision du 2 octobre 2009, contre laquelle l'assuré a interjeté directement recours devant le Tribunal de céans le 1er novembre 2009.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t>A/3927/2009 - 7/13 -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w:t>
      </w:r>
    </w:p>
    <w:p>
      <w:r>
        <w:t>A/3927/2009 - 8/13 -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w:t>
      </w:r>
    </w:p>
    <w:p>
      <w:r>
        <w:t>A/3927/2009 - 9/13 -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A/3927/2009 - 10/13 -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w:t>
      </w:r>
    </w:p>
    <w:p>
      <w:r>
        <w:t>A/3927/2009 - 11/13 - consid. 4b), la jurisprudence rendue sous l'empire de l'art. 4 aCst. étant toujours valable (ATF 124 V 94 consid. 4b, 122 V 162 consid. 1d et l'arrêt cité).</w:t>
      </w:r>
    </w:p>
    <w:p>
      <w:r>
        <w:rPr>
          <w:b/>
        </w:rPr>
        <w:t>E. 8</w:t>
      </w:r>
    </w:p>
    <w:p>
      <w:r>
        <w:t>En l'espèce, le rapport du CEMed du 2 juillet 2009 répond aux critères jurisprudentiels précités pour qu’il lui soit reconnu une pleine valeur probante. Aucun autre avis médical ne vient d’ailleurs en contredire les conclusions. De surcroît, le recourant lui-même a déclaré qu’il était d’accord avec les conclusions de l’expertise, sous réserve de la reconnaissance d’une capacité de travail entière comme opticien-vendeur. Aux termes de cette expertise, le recourant a été reconnu apte à exercer une activité légère, à 100%, soit sans port de charges de plus de 10 kg, sans position essentiellement assise ou debout et ne nécessitant pas une bonne vision binoculaire. Les activités exercées jusqu’à maintenant, soit opticien et accompagnant Alzheimer ont été reconnues comme activités adaptées. Au vu de ce qui précède, le recourant ne présente aucun degré d’invalidité. De surcroît, même si l’on devait admettre, compte tenu des explications données par le recourant concernant l’activité d’opticien-vendeur, que celle-ci n’est en réalité pas adaptée à ses limitations fonctionnelles, force est de constater que le recourant admet qu’il est capable d’exercer une activité adaptée en atelier, de sorte que le degré d’invalidité est toujours inexistant. A cet égard, s’agissant des postes d’opticien en atelier, même si, comme l’a fait remarquer le recourant, ils sont bien moins nombreux que ceux d’opticien-vendeur, il ne s’agit pas de postes de travail irréalistes, lesquels ne pourraient être pris en compte pour admettre que l’activité est encore exigible au sens de la jurisprudence précitée (c.f. consid. 5 c supra). En conclusion, le recourant ne présente aucun degré d’invalidité, de sorte qu’il n’a pas droit à une mesure de reclassement pour laquelle un degré d’invalidité de 20% environ est exigée (ATF 124 V 108). En outre, toute autre mesure de réadaptation n’est pas justifiée dès lors que le recourant a été reconnu apte à exercer ses deux anciennes activités, soit accompagnant Alzheimer et opticien.</w:t>
      </w:r>
    </w:p>
    <w:p>
      <w:r>
        <w:rPr>
          <w:b/>
        </w:rPr>
        <w:t>E. 9</w:t>
      </w:r>
    </w:p>
    <w:p>
      <w:r>
        <w:t>a) Au vu de ce qui précède, le recours est mal fondé et il doit 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A/3927/2009 - 12/13 - Un émolument de 200 fr. sera ainsi mis à la charge du recourant qui succombe (art. 69 al. 1bis LAI).</w:t>
      </w:r>
    </w:p>
    <w:p>
      <w:r>
        <w:t>A/3927/2009 - 13/13 -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