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ATAS/388/2026 vom 7. Mai 2026</w:t>
      </w:r>
    </w:p>
    <w:p>
      <w:r>
        <w:t>GE Cour de justice, 2026-05-07, FR</w:t>
      </w:r>
    </w:p>
    <w:p>
      <w:r>
        <w:rPr>
          <w:b/>
        </w:rPr>
        <w:t xml:space="preserve">Quelle: </w:t>
      </w:r>
      <w:r>
        <w:t>https://mcp.opencaselaw.ch/entscheid/ge_gerichte_ATAS_388_2026</w:t>
      </w:r>
    </w:p>
    <w:p>
      <w:r>
        <w:t>FR: GE_GERICHTE ATAS/388/2026 du 7 mai 2026</w:t>
      </w:r>
    </w:p>
    <w:p>
      <w:r>
        <w:t>IT: GE_GERICHTE ATAS/388/2026 del 7 maggio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 Le délai de recours est de 30 jours (art. 56 et 60 LPGA ; art. 62 al. 1 let. a LPA). En l’espèce, le recours, interjeté dans les forme et délai prescrits par la loi, est recevable.</w:t>
      </w:r>
    </w:p>
    <w:p>
      <w:r>
        <w:rPr>
          <w:b/>
        </w:rPr>
        <w:t>E. 2</w:t>
      </w:r>
    </w:p>
    <w:p>
      <w:r>
        <w:t>Le litige porte sur le droit du recourant à une rente d'invalidité dans le cadre d’une nouvelle demande de prestations. Il convient dès lors de vérifier si son état de</w:t>
      </w:r>
    </w:p>
    <w:p>
      <w:r>
        <w:t>A/894/2026 - 7/12 - santé s’est péjoré, depuis la décision rendue en septembre 2023, au point de lui ouvrir droit à des prestations.</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un éventuel droit à une rente d’invalidité naîtrait au plus tôt en septembre 2025, soit six mois après le dépôt de la demande (art. 29 al. 1 LAI), de sorte que les dispositions légales applicables seront citées dans leur nouvelle teneur.</w:t>
      </w:r>
    </w:p>
    <w:p>
      <w:r>
        <w:rPr>
          <w:b/>
        </w:rPr>
        <w:t>E. 3.2</w:t>
      </w:r>
    </w:p>
    <w:p>
      <w:r>
        <w:t>Lorsque l’administration entre en matière sur une nouvelle demande, après avoir nié le droit à une prestation (cf. art. 87 al. 3 RAI), l’examen matériel doit être effectué de manière analogue à celui d'un cas de révision au sens de l'art. 17 al. 1 LPGA (ATF 141 V 585 consid. 5.3 et les références ; cf. arrêt du Tribunal fédéral 8C_12/2023 du 22 août 2023 consid. 3.2). Elle doit donc traiter l'affaire au fond et vérifier que la modification du degré d'invalidité rendue plausible par l'assuré est réellement intervenue (examen « allseitig »). Lorsque les faits déterminants pour le droit à la rente se sont modifiés, le degré d'invalidité doit ainsi être fixé à nouveau sur la base d'un état de fait établi de manière correcte et complète, sans référence à des évaluations antérieures de l'invalidité (ATF 141 V 9 consid. 6.1 et les références ; arrêt du Tribunal fédéral 9C_498/2023 du 11 décembre 2023 consid. 5.1 et les références).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w:t>
      </w:r>
    </w:p>
    <w:p>
      <w:r>
        <w:t>A/894/2026 - 8/12 -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w:t>
      </w:r>
    </w:p>
    <w:p>
      <w:r>
        <w:rPr>
          <w:b/>
        </w:rPr>
        <w:t>E. 3.3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3.4</w:t>
      </w:r>
    </w:p>
    <w:p>
      <w:r>
        <w:t>Pour pouvoir calculer le degré d’invalidité, l’administration (ou le juge, s’il y a eu un recours) a besoin de documents qu’un médecin, éventuellement d’autres spécialistes, doivent lui fournir. La tâche du médecin consiste à porter un</w:t>
      </w:r>
    </w:p>
    <w:p>
      <w:r>
        <w:t>A/894/2026 - 9/12 -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w:t>
      </w:r>
    </w:p>
    <w:p>
      <w:r>
        <w:t>A/894/2026 - 10/12 -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w:t>
      </w:r>
    </w:p>
    <w:p>
      <w:r>
        <w:rPr>
          <w:b/>
        </w:rPr>
        <w:t>E. 4.1</w:t>
      </w:r>
    </w:p>
    <w:p>
      <w:r>
        <w:t>En l’espèce, il convient de déterminer si l’état de santé du recourant s’est péjoré entre septembre 2023, date de la première décision, et le 19 février 2026, date de la décision litigieuse rejetant la nouvelle demande de prestations.</w:t>
      </w:r>
    </w:p>
    <w:p>
      <w:r>
        <w:rPr>
          <w:b/>
        </w:rPr>
        <w:t>E. 4.2</w:t>
      </w:r>
    </w:p>
    <w:p>
      <w:r>
        <w:t>À l’époque, l’OAI avait constaté que, malgré une atteinte neuropathique au niveau du poignet droit, l’assuré pouvait exercer à plein temps une activité adaptée (port de charges limité à 5 kg, pas de mouvement en force de la pince pouce-index, pas de contact sensitif avec la zone de cicatrice, pas d’exposition au</w:t>
      </w:r>
    </w:p>
    <w:p>
      <w:r>
        <w:t>A/894/2026 - 11/12 - froid, pas d’activité de précision, pas d’activité manuelle lourde), lui permettant d’obtenir un revenu supérieur à celui qu’il réalisait dans son activité habituelle.</w:t>
      </w:r>
    </w:p>
    <w:p>
      <w:r>
        <w:rPr>
          <w:b/>
        </w:rPr>
        <w:t>E. 4.3</w:t>
      </w:r>
    </w:p>
    <w:p>
      <w:r>
        <w:t>La décision litigieuse du 19 février 2026 se fonde, quant à elle, sur l’avis du SMR du 19 août 2025, lui-même basé sur le rapport du chirurgien traitant. Si tant le SMR que le chirurgien ont confirmé l’apparition d’une nouvelle atteinte (neuropathie cubitale du coude droit) entraînant quelques limitations fonctionnelles supplémentaires (pas d’accoudement, pas de mouvements répétitifs avec le coude droit), l’un comme l’autre ont estimé que, malgré tout, la capacité de travail demeurait entière dans une activité adaptée. Il a également été précisé qu’en cas d’opération du coude, une incapacité totale dans toute activité serait à prévoir, mais d’une durée limitée à 1-3 mois. Dite intervention a eu lieu, raison pour laquelle l’intimé a admis une totale incapacité de travail dans toute activité du 8 septembre au 19 novembre 2025. En effet, comme l’a confirmé le chirurgien, en l’absence de complication, l’intervention concernant le coude n’a pas entraîné d’incapacité d’une durée supérieure à 3 mois. C’est dès lors à juste titre que l’intimé a considéré qu’à compter du 20 novembre 2025, la situation était redevenue la même qu’auparavant, c’est-à-dire que l’assuré avait recouvré une pleine capacité de travail dans une activité adaptée. Dans ces conditions, la décision de l’intimé de nier l’existence d’une aggravation durable de l’état de santé susceptible d’ouvrir droit aux prestations est bien fondée. Pour le surplus, étant rappelé que le juge apprécie la légalité des décisions entreprises d'après l'état de fait existant au moment où la décision litigieuse a été rendue, une nouvelle incapacité de travail induite par une nouvelle opération (pontage coronarien) prévue le 21 avril 2026, soit bien après la décision attaquée n’est pas pertinente. Il appartiendra à l’assuré, cas échéant, si cette intervention devait entraîner une incapacité de travail durable, de redéposer une nouvelle demande auprès de l’OAI. Compte tenu de ces éléments, la décision litigieuse doit être confirmée.</w:t>
      </w:r>
    </w:p>
    <w:p>
      <w:r>
        <w:rPr>
          <w:b/>
        </w:rPr>
        <w:t>E. 5</w:t>
      </w:r>
    </w:p>
    <w:p>
      <w:r>
        <w:t>Au vu de ce qui précède, le recours sera rejeté et le recourant condamné au paiement d'un émolument de CHF 200.- (art. 69 al.1bis LAI).</w:t>
      </w:r>
    </w:p>
    <w:p>
      <w:r>
        <w:t>***</w:t>
      </w:r>
    </w:p>
    <w:p>
      <w:r>
        <w:t>A/894/2026 - 12/12 -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