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ATAS/388/2025 vom 27. Mai 2025</w:t>
      </w:r>
    </w:p>
    <w:p>
      <w:r>
        <w:t>GE Cour de justice, 2025-05-27, FR</w:t>
      </w:r>
    </w:p>
    <w:p>
      <w:r>
        <w:rPr>
          <w:b/>
        </w:rPr>
        <w:t xml:space="preserve">Quelle: </w:t>
      </w:r>
      <w:r>
        <w:t>https://mcp.opencaselaw.ch/entscheid/ge_gerichte_ATAS_388_2025</w:t>
      </w:r>
    </w:p>
    <w:p>
      <w:r>
        <w:t>FR: GE_GERICHTE ATAS/388/2025 du 27 mai 2025</w:t>
      </w:r>
    </w:p>
    <w:p>
      <w:r>
        <w:t>IT: GE_GERICHTE ATAS/388/2025 del 27 maggio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Interjeté dans la forme et le délai prévus par la loi, le recours est prima facie recevable (art. 56 et 60 de la loi fédérale sur la partie générale du droit des assurances sociales du 6 octobre 2000 [LPGA - RS 830.1]; art. 89B de la loi sur la procédure administrative du 12 septembre 1985 [LPA-GE - E 5 10]).</w:t>
      </w:r>
    </w:p>
    <w:p>
      <w:r>
        <w:rPr>
          <w:b/>
        </w:rPr>
        <w:t>E. 2</w:t>
      </w:r>
    </w:p>
    <w:p>
      <w:r>
        <w:t>Selon l'art. 54 al. 1 let. c LPGA les décisions et les décisions sur opposition sont exécutoires lorsque l'effet suspensif attribué à une opposition ou à un recours a été retiré.</w:t>
      </w:r>
    </w:p>
    <w:p>
      <w:r>
        <w:rPr>
          <w:b/>
        </w:rPr>
        <w:t>E. 2.1</w:t>
      </w:r>
    </w:p>
    <w:p>
      <w:r>
        <w:t>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w:t>
      </w:r>
    </w:p>
    <w:p>
      <w:r>
        <w:t>A/1539/2025 - 4/7 -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w:t>
      </w:r>
    </w:p>
    <w:p>
      <w:r>
        <w:rPr>
          <w:b/>
        </w:rPr>
        <w:t>E. 2.2</w:t>
      </w:r>
    </w:p>
    <w:p>
      <w:r>
        <w:t>L’art. 66 LPA prescrit que sauf disposition légale contraire, le recours a effet suspensif à moins que l'autorité qui a pris la décision attaquée n'ait ordonné l'exécution nonobstant recours (al. 1). Toutefois, lorsque aucun intérêt public ou privé prépondérant ne s'y oppose, la juridiction de recours peut, sur la demande de la partie dont les intérêts sont gravement menacés, retirer ou restituer l'effet suspensif (al. 3). Un effet suspensif ne peut être restitué lorsque le recours est dirigé contre une décision à contenu négatif ; la fonction de l'effet suspensif est de maintenir un régime juridique prévalant avant la décision contestée (ATF 127 II 132 ; 126 V 407 ; 116 Ib 344).</w:t>
      </w:r>
    </w:p>
    <w:p>
      <w:r>
        <w:rPr>
          <w:b/>
        </w:rPr>
        <w:t>E. 2.3</w:t>
      </w:r>
    </w:p>
    <w:p>
      <w:r>
        <w:t>L’art. 21 al. 1 LPA permet par ailleurs le prononcé de mesures provisionnelles. Selon la jurisprudence, des mesures provisionnelles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253-420, 265). Par ailleurs, l'octroi de mesures provisionnelles présuppose l'urgence, à savoir que le refus de les ordonner crée pour l'intéressé la menace d'un dommage difficile à réparer (ATF 130 II 149 consid. 2.2 ; 127 II 132 consid. 3 = RDAF 2002 I 405) ;</w:t>
      </w:r>
    </w:p>
    <w:p>
      <w:r>
        <w:rPr>
          <w:b/>
        </w:rPr>
        <w:t>E. 2.4</w:t>
      </w:r>
    </w:p>
    <w:p>
      <w:r>
        <w:t>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w:t>
      </w:r>
    </w:p>
    <w:p>
      <w:r>
        <w:t>A/1539/2025 - 5/7 -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 Tribunal fédéral 8C_451/2010 du 10 novembre 2010 consid. 2 à 4, in SVR 2011 IV n° 33 p. 96; arrêt du Tribunal fédéral 9C_207/2014 du 1er mai 2014 consid. 5.3).</w:t>
      </w:r>
    </w:p>
    <w:p>
      <w:r>
        <w:rPr>
          <w:b/>
        </w:rPr>
        <w:t>E. 2.5</w:t>
      </w:r>
    </w:p>
    <w:p>
      <w:r>
        <w:t>En l’espèce, en n’octroyant les prestations qu’à partir du 1er octobre 2024, l’intimé a rendu une décision négative pour la période du 19 décembre 2023 au 1er octobre 2024. Or, les effets d’une telle décision ne sont pas susceptibles d’être suspendus pendant une procédure de recours. Si la recourante avait voulu obtenir le versement de ces prestations complémentaires durant la procédure de recours, elle aurait dû présenter une demande de mesures provisionnelles. Quand bien même elle l’aurait fait, l'octroi des mesures provisionnelles requises reviendrait à lui accorder ce qu'elle réclame au fond, anticipant ainsi le jugement qui va suivre. Une telle situation n’est pas admissible au regard des motifs exposés ci-avant. L’intérêt privé de la recourante doit en effet céder le pas à celui</w:t>
      </w:r>
    </w:p>
    <w:p>
      <w:r>
        <w:t>A/1539/2025 - 6/7 - de l'administration à ne pas verser des prestations. Enfin, les chances de succès de la recourante ne paraissent, à première vue, pas à un tel point évidentes qu'il conviendrait de lui octroyer des mesures provisionnelles. Il s’ensuit que la demande de restitution de l’effet suspensif, comprise comme une demande de mesures provisionnelles, sera rejetée.</w:t>
      </w:r>
    </w:p>
    <w:p>
      <w:r>
        <w:t>******</w:t>
      </w:r>
    </w:p>
    <w:p>
      <w:r>
        <w:t>A/1539/2025 - 7/7 -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