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ATAS/388/2023 vom 1. Juni 2023</w:t>
      </w:r>
    </w:p>
    <w:p>
      <w:r>
        <w:t>GE Cour de justice, 2023-06-01, FR</w:t>
      </w:r>
    </w:p>
    <w:p>
      <w:r>
        <w:rPr>
          <w:b/>
        </w:rPr>
        <w:t xml:space="preserve">Quelle: </w:t>
      </w:r>
      <w:r>
        <w:t>https://mcp.opencaselaw.ch/entscheid/ge_gerichte_ATAS_388_2023</w:t>
      </w:r>
    </w:p>
    <w:p>
      <w:r>
        <w:t>FR: GE_GERICHTE ATAS/388/2023 du 1 juin 2023</w:t>
      </w:r>
    </w:p>
    <w:p>
      <w:r>
        <w:t>IT: GE_GERICHTE ATAS/388/2023 del 1 giugno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2</w:t>
      </w:r>
    </w:p>
    <w:p>
      <w:r>
        <w:t>A/1834/2022 - 13/29 -</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Interjeté dans la forme et le délai prévus par la loi, le recours est recevable.</w:t>
      </w:r>
    </w:p>
    <w:p>
      <w:r>
        <w:rPr>
          <w:b/>
        </w:rPr>
        <w:t>E. 3</w:t>
      </w:r>
    </w:p>
    <w:p>
      <w:r>
        <w:t>Le litige porte sur le droit de la recourante à une rente d’invalidité, une indemnité pour atteinte à l’intégrité et à la prise en charge d’un traitement de physiothérapie au-delà du 31 décembre 2013.</w:t>
      </w:r>
    </w:p>
    <w:p>
      <w:r>
        <w:rPr>
          <w:b/>
        </w:rPr>
        <w:t>E. 4</w:t>
      </w:r>
    </w:p>
    <w:p>
      <w:r>
        <w:t>Le 1er janvier 2017 est entrée en vigueur la modification du 25 septembre 2015 de la LAA. Dans la mesure où les accidents des 16 novembre 2011 et 7 mars 2013 sont survenus avant cette date, le droit de la recourante aux prestations d’assurance est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5.1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La responsabilité de l’assureur-accidents s’étend, en principe, à toutes les conséquences dommageables qui se trouvent dans un rapport de causalité naturelle (ATF 129 V 177 consid. 3.1 et les références ; ATF 129 V 402 consid. 4.3.1 et les références) et adéquate avec l’événement assuré (ATF 129 V 177 consid. 3.2 et la référence ; ATF 129 V 402 consid. 2.2 et les références).</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A/1834/2022 - 14/29 -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w:t>
      </w:r>
    </w:p>
    <w:p>
      <w:r>
        <w:rPr>
          <w:b/>
        </w:rPr>
        <w:t>E. 5.3</w:t>
      </w:r>
    </w:p>
    <w:p>
      <w:r>
        <w:t>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arrêt du Tribunal fédéral U 471/06 du 5 novembre 2007 consid. 4.1). Si la jurisprudence relative aux lésions de type « coup du lapin » exige que les troubles à la nuque ou à la colonne cervicale se manifestent dans la période de 72 heures suivant l’accident pour qu’un lien de causalité naturelle puisse être admis, il n’est pas nécessaire, en revanche, que les autres troubles caractéristiques du tableau clinique apparaissent dans ce laps de temps (SVR 2007 UV n° 23 p. 75 consid. 5 ; arrêt du Tribunal fédéral U 471/06 du 5 novembre 2007 consid. 4.1).</w:t>
      </w:r>
    </w:p>
    <w:p>
      <w:r>
        <w:rPr>
          <w:b/>
        </w:rPr>
        <w:t>E. 5.4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Lors de troubles d’ordre psychique consécutifs à un accident, l’appréciation de la causalité adéquate se fonde sur des critères différents selon que l’assuré a été victime ou non d’un traumatisme de type « coup du lapin », d’une lésion analogue à une telle atteinte ou d’un traumatisme crânio-cérébral. À la différence des critères valables en cas d’atteinte à la santé psychique non consécutive à un traumatisme de type « coup du lapin », il n’est pas décisif de savoir, en cas de traumatisme de ce type, si les troubles dont est atteint l’assuré sont plutôt de nature somatique ou psychique (ATF 117 V 359 consid. 6a ; RAMA 1999 no U 341 p. 408 s. consid. 3b).</w:t>
      </w:r>
    </w:p>
    <w:p>
      <w:r>
        <w:t>A/1834/2022 - 15/29 - Lorsque des lésions appartenant spécifiquement au tableau clinique des séquelles d’un accident de type « coup du lapin » ou d’un traumatisme analogue (maux de tête diffus, vertiges, troubles de la concentration et de la mémoire, fatigabilité, dépression, etc.), bien qu’en partie établies, sont reléguées au second plan en raison de l’existence d’un problème important de nature psychique, le lien de causalité adéquate doit être apprécié à la lumière des principes applicables en cas de troubles psychiques consécutifs à un accident (ATF 123 V 98 consid. 2a et les références ; RAMA 2002 n° U 470 p. 531 ; arrêt du Tribunal fédéral U 471/06 du 5 novembre 2007 consid. 5.1).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de causalité ne peut, de toute façon, pas être qualifié d’adéquat (ATF 135 V 465 consid. 5.1).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(arrêts du Tribunal fédéral 8C_192/2018 du 12 mars 2019 consid. 6 ; 8C_685/2015 du 13 septembre 2016 consid. 4.2).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(ATF 147 V 207 consid. 6.1).</w:t>
      </w:r>
    </w:p>
    <w:p>
      <w:r>
        <w:rPr>
          <w:b/>
        </w:rPr>
        <w:t>E. 6</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7</w:t>
      </w:r>
    </w:p>
    <w:p>
      <w:r>
        <w:t>Les prestations d’assurance sont également allouées en cas de rechutes et de séquelles tardives (art.</w:t>
      </w:r>
    </w:p>
    <w:p>
      <w:r>
        <w:rPr>
          <w:b/>
        </w:rPr>
        <w:t>E. 11</w:t>
      </w:r>
    </w:p>
    <w:p>
      <w:r>
        <w:t>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t>A/1834/2022 - 16/29 -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8.</w:t>
      </w:r>
    </w:p>
    <w:p>
      <w:r>
        <w:t>8.1 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8.2 Aux termes de l’art. 19 LAA, le droit à la rente prend naissance dès qu’il n’y a plus lieu d’attendre de la continuation du traitement médical une sensible amélioration de l’état de l’assuré et que les éventuelles mesure de réadaptation de l’assurance-invalidité ont été menées à terme (al. 1) ; le droit au traitement médical et aux indemnités journalières cesse dès la naissance du droit à la rente (al. 2). Cette disposition règle le moment de la liquidation du cas d’assurance. L’assureur-accidents ne doit – pour autant que les éventuelles mesures de réadaptation de l’assurance-invalidité aient été menées à terme – accorder des prestations provisoires, telles que des indemnités journalières et un traitement médical, qu’aussi longtemps qu’une sensible amélioration de l’état de santé peut être attendue de la poursuite du traitement médical. Si tel n’est plus le cas, la cessation des prestations provisoires et la liquidation du cas avec examen des conditions du droit à une rente d’invalidité et/ou à une indemnité pour atteinte à l’intégrité (art. 24 al. 2, 1ère phr. LAA) doivent être examinées en même temps (arrêt du Tribunal fédéral 8C_243/2021 du 11 octobre 2021 et les références). 9.</w:t>
      </w:r>
    </w:p>
    <w:p>
      <w:r>
        <w:t>9.1 La plupart des éventualités assurées (par exemple la maladie, l’accident, l’incapacité de travail, l’invalidité, l’atteinte à l’intégrité physique ou mentale)</w:t>
      </w:r>
    </w:p>
    <w:p>
      <w:r>
        <w:t>A/1834/2022 - 17/29 -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9.2 L’existence d’un traumatisme de type « coup du lapin » (ou assimilé ; cf. ci-après : consid. 9.2.2) et de ses suites doivent être dûment attestées par des renseignements médicaux fiables (ATF 119 V 335 consid. 1 ; ATF 117 V 359 consid. 4b). 9.2.1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9.2.2 Le Tribunal fédéral a également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crânio- cérébral.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w:t>
      </w:r>
    </w:p>
    <w:p>
      <w:r>
        <w:t>A/1834/2022 - 18/29 - psychique sont difficilement séparables, ou si cette problématique représente une atteinte à la santé psychique propre, distincte du tableau clinique (cf. ci-dessus : consid. 5.4).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9.3 Selon le principe de libre appréciation des preuves, pleinement valable en procédure judiciaire de recours dans le domaine des assurances sociales (art.61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9.3.1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w:t>
      </w:r>
    </w:p>
    <w:p>
      <w:r>
        <w:t>A/1834/2022 - 19/29 -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9.3.2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(cf. arrêt du Tribunal fédéral 8C_681/2011 du 27 juin 2012 consid. 4.1 et les références). 9.3.3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w:t>
      </w:r>
    </w:p>
    <w:p>
      <w:r>
        <w:t>A/1834/2022 - 20/29 - 10.1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10.3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w:t>
      </w:r>
    </w:p>
    <w:p>
      <w:r>
        <w:t>A/1834/2022 - 21/29 -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11.1</w:t>
      </w:r>
    </w:p>
    <w:p>
      <w:r>
        <w:t>En l’espèce, il ressort en synthèse du dossier qu’après avoir été renversée par un motocycliste le 16 novembre 2011 en traversant la rue de Lyon en courant, la recourante a subi notamment un TCC sévère et, le 7 mars 2013, deux crises d’épilepsie tonico-cloniques dont la première a été à l’origine d’une chute d’un vélo d’intérieur, ayant entraîné une entorse de la cheville gauche. Il est également constant qu’après le dépôt d’une demande de prestations d’assurance-invalidité du 10 août 2012 et d’une expertise neurologique initiée par l’OAI, le SMR a estimé, le 28 mai 2018, que la capacité de travail était nulle dans toute activité du</w:t>
      </w:r>
    </w:p>
    <w:p>
      <w:r>
        <w:rPr>
          <w:b/>
        </w:rPr>
        <w:t>E. 11.2</w:t>
      </w:r>
    </w:p>
    <w:p>
      <w:r>
        <w:t>Il ressort en synthèse du rapport d’expertise neurologique du 9 février 2018 du Dr K______ et de l’examen neuropsychologique que celui-ci a délégué à Mme L______ que les quelques plaintes neurologiques formulées encore actuellement et le résultat de l’examen neurologique – qui était sans anomalie significative – ne pouvaient être considérés comme la cause d’une incapacité de travail significative au terme d’une période d’un an maximum après l’événement accidentel et, sur le plan neuropsychologique, deux ans après cet événement, sans qu’il y ait de limitations fonctionnelles neurologiques ou neuropsychologiques au terme de cette période d’un an, respectivement deux ans. Dans son arrêt ATAS/321/2020 du 30 avril 2020, la chambre de céans avait relevé que l’expert K______ motivait cet écart d’un an par le fait que tant Mme L______ que M. J______ concluaient à des incohérences et éléments atypiques qui rendaient l’examen neuropsychologique non probant et ne permettaient donc pas de retenir une atteinte à la santé. Bien qu’elle ait reconnu la valeur probante de l’expertise du Dr K______ dans le cadre de l’arrêt du 30 avril 2020 précité, la chambre de céans n’en constate pas moins que le rapport d’expertise neurologique privée du 30 janvier 2023 du Dr P______ évoque, lui aussi, un « défaut d’effort » lors des examens neuropsychologiques de 2017, 2018 et 2022. Cependant, cet expert précise également que si ce défaut d’effort « peut » expliquer la péjoration des troubles cognitifs attentionnels et de mémoire par rapport aux examens neuropsychologiques de 2011 et 2012, il existe aussi d’autres facteurs pouvant expliquer cette évolution, à savoir le traitement antiépileptique en cours depuis</w:t>
      </w:r>
    </w:p>
    <w:p>
      <w:r>
        <w:t>A/1834/2022 - 24/29 - 2013, les séquelles cérébrales sous-corticales révélées par l’IRM cérébrale du 22 septembre 2022 – séquelles dont l’origine médicamenteuse (traitement antiépileptique) et/ou migraineuse serait possible de son point de vue –, ainsi que l’état dépressif sous-jacent (cf. rapport d’expertise du 30 janvier 2023, p. 15-16). Par ailleurs, l’examen neurologique et neurocomportemental que l’expert P______ a effectué lui-même met en évidence des « troubles attentionnels dans la sphère visuelle et verbale, ainsi que des troubles mnésiques antérogrades verbaux en apprentissage » (cf. rapport d’expertise du 30 janvier 2023, p. 13). En outre, cet expert se démarque du Dr K______ en justifiant une incapacité de gain totale de la recourante dans toute activité au moyen des limitations fonctionnelles neurologiques suivantes : - troubles sévères de la concentration ne permettant pas d’activité intellectuelle soutenue au-delà d’une heure consécutive ; - troubles sévères de la mémoire verbale avec difficultés à retenir les informations à utiliser à l’avenir (antérograde) ; - troubles modérés des capacités exécutives (planification, flexibilité) engendrant des difficultés à se positionner, à s’adapter à des situations nouvelles ou changeantes ; - fatigue mentale et physique avec baisse de performance constatée objectivement lors de séances de tests de trois heures ; - céphalées survenant 15-20 jours par mois. Par opposition, l’expert K______ est d’avis que, malgré une capacité de travail qu’il estimait à nouveau entière dans une « activité simple », (soit une activité sédentaire, sans apprentissage mnésique important, relativement répétitive, bien encadrée) deux ans après l’accident du 16 novembre 2011, les incohérences observées lors des tests neuropsychologiques l’empêchaient de retenir une quelconque limitation fonctionnelle neurologique. La chambre de céans constate ainsi que, même si une « activité simple » (au sens précité) était une activité adaptée aux dires du Dr K______, le recouvrement d’une capacité de travail entière au 1er janvier 2014 par la recourante ne dépendait pas, de l’avis de cet expert, du caractère simple d’une telle activité. Étant donné que les expertises des Drs K______ et P______ ont été établies – chacune à leur époque – sur la base d’un dossier complet, qu’elles tiennent compte des plaintes de l’expertisée, comportent une anamnèse, un examen clinique et que leurs conclusions sont motivées, la chambre de céans ne saurait départager les avis divergents de ces experts sur la base des critères formels évoqués, de sorte que la question de savoir si – et, le cas échéant, quand et dans quelle mesure – la recourante a recouvré une capacité de travail à la suite de l’accident du 16 novembre 2011 nécessite une surexpertise. Le point de savoir quel devra en être l’étendue fera l’objet de plus amples développements (ci-après : consid. 11.3 et 11.4).</w:t>
      </w:r>
    </w:p>
    <w:p>
      <w:r>
        <w:t>A/1834/2022 - 25/29 -</w:t>
      </w:r>
    </w:p>
    <w:p>
      <w:r>
        <w:rPr>
          <w:b/>
        </w:rPr>
        <w:t>E. 11.3</w:t>
      </w:r>
    </w:p>
    <w:p>
      <w:r>
        <w:t>En ce qui concerne l’octroi d’une IPAI, le Dr O______ a examiné la question au regard des séquelles neurologiques et orthopédiques du cas, soit des crises d’épilepsie, respectivement du « risque d’arthrose » à la cheville. En ce qui concerne la première de ces atteintes, la chambre de céans constate qu’il existe une divergence entre le Dr O______ et le Dr P______. Alors que le premier de ces médecins estime que les conditions d’octroi d’une IPAI ne seraient pas remplies (dans la mesure où les crises d’épilepsie ne se seraient plus déclarées après 2013), le second considère au contraire, en référence à l’annexe 3 OLAA, que même une épilepsie post-traumatique, sous médicamentation permanente sans crise, justifie l’octroi d’une IPAI de 30%. Par ailleurs, contrairement au Dr O______ qui, sans être neurologue, ne voit « rien d’objectif probant » sur le plan neurologique, le Dr P______ considère que le TCC et les céphalées de tension justifient aussi l’octroi d’une IPAI de 50%, respectivement 10%. Sur le plan orthopédique, la chambre de céans constate que dans son rapport du 23 septembre 2015 (pièce M5 intimée), le Dr H______ mentionne non pas un simple risque d’arthrose mais une « certaine arthrose post-traumatique déjà présente ». Or, le Dr O______ n’explique à aucun moment les raisons qui le poussent à s’écarter des constatations du Dr H______. Dans ces circonstances, l’expertise à mettre en œuvre ne saurait porter sur la seule question de l’incapacité de travail découlant des troubles présentant un lien de causalité avec l’événement du 16 novembre 2011 (ci-dessus : consid. 11.2). Elle devra comporter, outre un volet neurologique, un volet orthopédique et porter également sur la question de l’IPAI.</w:t>
      </w:r>
    </w:p>
    <w:p>
      <w:r>
        <w:rPr>
          <w:b/>
        </w:rPr>
        <w:t>E. 11.4</w:t>
      </w:r>
    </w:p>
    <w:p>
      <w:r>
        <w:t>Il reste à examiner si une telle expertise devrait également se voir adjoindre un volet psychiatrique. La recourante fait valoir à cet égard qu’à l’image du Dr K______, qui appelait un bilan psychiatrique de ses vœux en 2018, le Dr P______ estime lui aussi, dans sa récente expertise, qu’une évaluation psychiatrique est recommandée, la recourante présentant en effet, lors d’un screening par une échelle auto-administrée de la dépression et anxiété, « un score suggestif pour une dépression qui peut ultérieurement contribuer à une atteinte à l’intégrité » (cf. rapport d’expertise du 30 janvier 2023, p. 17). D’avis contraire, l’intimée estime, en substance, que l’absence évidente de causalité adéquate entre l’accident du 16 novembre 2011 et d’éventuels troubles psychiques devrait de toute manière conduire à considérer ceux-ci comme un phénomène indépendant de cet accident. Il est vrai que dans son arrêt ATAS/321/2020 du 30 avril 2020, la chambre de céans avait considéré, dans le cadre du litige opposant la recourante à l’OAI, que la seule mention, de la part du Dr K______, qui n’est pas psychiatre, d’un « comportement […] très particulier » n’apparaissait pas suffisamment circonstanciée pour mettre en lumière une instruction lacunaire. Cependant, dans le contexte particulier de l’examen de la causalité des suites d’un TCC avec un accident assuré (ci-dessus : consid. 9.2), il s’agit en priorité d’effectuer des</w:t>
      </w:r>
    </w:p>
    <w:p>
      <w:r>
        <w:t>A/1834/2022 - 26/29 - investigations dans les domaines neurologique, orthopédique, psychiatrique et, au besoin, neuropsychologique par des médecins spécialisés particulièrement au fait de ce genre de traumatismes. Par ailleurs, l’intimée semble ne pas tenir compte du fait qu’en raison des spécificités de la jurisprudence applicable en matière de traumatismes de type « coup du lapin » (et assimilés),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étant souligné que la manière d’analyser la causalité adéquate n’est pas la même selon que l’on se situe dans la première ou la seconde hypothèse (ci-dessus : consid. 9.2.2). En effet,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crânio-cérébral (ATF 117 V 369 consid. 4b), on peut renoncer à distinguer les éléments physiques des éléments psychiques (sur l’ensemble de la question, ATF 127 V 102 consid. 5b/bb et SVR 2007 UV n° 8 p. 27 consid. 2 et les références). Nonobstant ce qui précède, même en présence d’un traumatisme de type «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w:t>
      </w:r>
    </w:p>
    <w:p>
      <w:r>
        <w:rPr>
          <w:b/>
        </w:rPr>
        <w:t>E. 11.5</w:t>
      </w:r>
    </w:p>
    <w:p>
      <w:r>
        <w:t>La chambre de céans relève, enfin, que la décision litigieuse prend en charge le traitement médical associé aux complications tardives du 28 août 2015 au 13 novembre 2017, exclusivement, ce laps de temps correspondant peu ou prou à celui déterminé par le Dr O______ dans un courrier du 9 août 2021 à l’intimée (« 23.09.2015 au 13.11.2017 »), lui-même en contradiction avec la précédente appréciation de ce médecin du 2 août 2021, faisant état d’une stabilisation des troubles somatiques de la cheville « probablement depuis 2016, en l’absence de tout suivi depuis lors ». Si la thèse d’une rechute est effectivement corroborée par le rapport du 28 juin 2016 à l’OAI du Dr I______, il n’en reste pas moins que ce médecin a été consulté par la recourante avant le 28 août 2015, soit du 5 mai 2015</w:t>
      </w:r>
    </w:p>
    <w:p>
      <w:r>
        <w:t>A/1834/2022 - 27/29 - au 27 juillet 2015, période durant laquelle la recourante présentait des séquelles d’entorse de cheville grave selon ce médecin, entraînant une incapacité de travail complète dans l’activité habituelle d’enseignante de yoga et fitness (cf. ATAS/321/2020, p. 10-11). Il apparaît donc douteux, en l’état de l’instruction, que le traitement des séquelles de l’entorse de la cheville gauche se limite aux consultations et traitements prescrits par le Dr H______ entre le 23 août 2015 et le 13 novembre 2017.</w:t>
      </w:r>
    </w:p>
    <w:p>
      <w:r>
        <w:rPr>
          <w:b/>
        </w:rPr>
        <w:t>E. 11.6</w:t>
      </w:r>
    </w:p>
    <w:p>
      <w:r>
        <w:t>Il résulte de ce qui précède que, si l’on excepte les indemnités journalières - dont l’octroi du 19 novembre 2011 au 31 décembre 2013 n’est pas contesté en tant que tel mais demeure fonction de la date de stabilisation de l’état de santé au 1er janvier 2014, laquelle reste encore à confirmer par l’expertise à venir - les prestations accordées et refusées par l’intimée dans la mesure fixée par la décision litigieuse reposent sur les appréciations dépourvues de valeur probante du Dr O______. Aussi est-il nécessaire, en application de l’art. 44 LPGA et des principes évoqués plus haut (consid. 11.4), que l’intimée mette en œuvre une expertise pluridisciplinaire dans les domaines neurologique, orthopédique, psychiatrique et, au besoin, neuropsychologique par des médecins spécialisés particulièrement au fait du genre de traumatisme subi (TCC grave) avant de rendre une nouvelle décision sur le droit aux prestations.</w:t>
      </w:r>
    </w:p>
    <w:p>
      <w:r>
        <w:rPr>
          <w:b/>
        </w:rPr>
        <w:t>E. 11.7</w:t>
      </w:r>
    </w:p>
    <w:p>
      <w:r>
        <w:t>La recourante conclut également à ce que l’intimée soit condamnée à prendre en charge un traitement de physiothérapie au-delà du 31 décembre 2013. C’est le lieu d’observer que la prise en charge d’un traitement suit en principe le sort des indemnités journalières (cf. art. 19 al. 1, 2ème phr. LAA). Or, au regard des explications données à propos des indemnités journalières (cf. consid. 11.6 in initio), il est prématuré, en l’état de l’instruction, d’apprécier le bien-fondé d’une éventuelle continuation de la prise en charge de séances de physiothérapie au-delà du 31 décembre 2013.</w:t>
      </w:r>
    </w:p>
    <w:p>
      <w:r>
        <w:rPr>
          <w:b/>
        </w:rPr>
        <w:t>E. 11.8</w:t>
      </w:r>
    </w:p>
    <w:p>
      <w:r>
        <w:t>La recourante conclut, enfin, à la condamnation de l’intimée à prendre en charge les honoraires de son conseil pour la procédure d’opposition. Selon l’art. 52 al. 3 LPGA, la procédure d’opposition est gratuite. En règle générale, il ne peut être alloué de dépens. La seule exception retenue par la jurisprudence est celle de l’opposant qui, en cas de perte du procès, aurait pu prétendre à l’assistance judiciaire (ATF 140 V 116 consid. 3.3 ; 132 V 200 consid. 4.1 ; 130 V 570 consid. 2 ; Valérie DEFAGO- GAUDIN, in Dupont/Moser-Szeless [éd.], Commentaire romand de la LPGA, n. 38 ad art. 52 LGPA), ce qui n’est pas le cas de la recourante. Il s’ensuit qu’elle ne peut se voir octroyer de dépens pour la procédure d’opposition. 12. Le recours est donc partiellement admis, la décision sur opposition du 3 mai 2022 annulée et la cause renvoyée à l’intimée pour instruction complémentaire au sens des considérants et nouvelle décision.</w:t>
      </w:r>
    </w:p>
    <w:p>
      <w:r>
        <w:t>A/1834/2022 - 28/29 - 13. Étant donné que la recourante obtient partiellement gain de cause dans la procédure de recours, une indemnité de CHF 2’500.-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w:t>
      </w:r>
    </w:p>
    <w:p>
      <w:r>
        <w:t>A/1834/2022 - 29/29 - PAR CES MOTIFS, LA CHAMBRE DES ASSURANCES SOCIALES : Statuant À la forme :</w:t>
      </w:r>
    </w:p>
    <w:p>
      <w:r>
        <w:rPr>
          <w:b/>
        </w:rPr>
        <w:t>E. 16</w:t>
      </w:r>
    </w:p>
    <w:p>
      <w:r>
        <w:t>novembre 2011 au 31 décembre 2013, et entière – notamment dans l’ancienne activité de monitrice de fitness – à partir du 1er janvier 2014, puis a considéré, le 9 juillet 2018, qu’au vue d’une atteinte incapacitante nouvelle (séquelles d’entorse de la cheville gauche en juin 2016), la nouvelle appréciation de la capacité de travail qui s’imposait pour l’activité habituelle de monitrice de fitness (capacité nulle du 16 novembre 2011 au 31 décembre 2013, entière du 1er janvier 2014 au 31 mai 2016 puis à nouveau nulle dès le 1er juin 2016) ne changeait rien à la pleine exigibilité d’une activité adaptée dès le 1er janvier 2014, soit une activité n’impliquant ni sollicitation répétée de la cheville gauche, ni travail en terrain instable, ni sauts, ni déplacements latéraux. Il ressort en outre de la procédure A/2309/2019 que la chambre de céans, après avoir reconnu la valeur probante du rapport d’expertise neurologique du 9 février 2018 du Dr K______, a confirmé – dans son principe – la décision de refus de rente du 21 mai 2019 de l’OAI mais néanmoins admis (très) partiellement le recours en retenant que la recourante avait droit à une rente entière d’invalidité, limitée dans le temps, du 1er février 2013 au 31 mars 2014 (cf. l’arrêt ATAS/321/2020 du 30 avril 2020, entré en force). Après que l'intimée a reconnu, le 17 février 2020, qu’elle était l’assureur de l’employeur et demandé au Dr O______ de donner son appréciation, ce dernier a estimé que les diagnostics présentant un lien de causalité naturel avec l’accident du 16 novembre 2011 concernaient, sur le plan neurologique, les séquelles du TCC mais qu’en raison de « l’incohérence manifeste » du bilan neuropsychologique de 2017, le seul trouble démontré consistait dans les risques d’épilepsie qui étaient maîtrisés – car sous traitement depuis la dernière crise de 2013 –, de sorte qu’il n’y avait ni atteinte à l’intégrité, ni incapacité de travail, celle-ci étant entière dans toute activité depuis le 1er janvier 2014, le rapport d’expertise du 9 février 2018 du Dr K______ étant toujours d’actualité. Sur le plan somatique, les suites de l’entorse de la cheville gauche du 7 mars 2013 n’empêchaient pas l’exercice d’une activité adaptée (travail sans effort physique</w:t>
      </w:r>
    </w:p>
    <w:p>
      <w:r>
        <w:t>A/1834/2022 - 22/29 - et plutôt semi-assis) dès le 1er janvier 2014 et n’entraînaient pas non plus d’atteinte à l’intégrité en dehors d’un risque d’arthrose secondaire au long cours qui n’était toutefois pas prévisible en l’état. La décision litigieuse se fonde sur l’avis du Dr O______ et l’expertise du Dr K______ pour mettre fin aux prestations provisoires (indemnités journalières et traitement médical) au 31 décembre 2013 et nier le droit à toutes autres prestations, hormis le traitement médical associé aux complications tardives de la cheville du 28 août 2015 au 13 novembre 2017. Pour sa part, la recourante s’appuie sur le rapport d’expertise neurologique du 20 janvier 2023 du Dr P______ pour conclure à l’octroi, non seulement d’une rente, mais aussi d’une IPAI. Dans ces conditions, il convient d’examiner tout d’abord la valeur probante des rapports sur lesquels l’intimée se fonde pour nier le droit à une rente d’invalidité (ci-après : consid. 11.2) et à une IPAI (consid. 11.3), notamment en confrontant ceux-ci au rapport d’expertise privée du 30 janvier 2023 du Dr P______. L’expertise privée de ce médecin – qui se fonde sur des éléments partiellement nouveaux (bilan neuropsychologique dès septembre 2022, IRM cérébrale du 22 septembre 2022) - étant postérieure à la décision litigieuse du 3 mai 2022, elle sort en principe de l’objet du litige.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Toutefois,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2e éd., 1983, p. 43) et les droits procéduraux des parties doivent être respectés (Ulrich MEYER/ Isabel VON ZWEHL, L’objet du litige en procédure de droit administratif fédéral, in Mélanges Pierre MOOR, 2005, n° 27 p. 446). Ces</w:t>
      </w:r>
    </w:p>
    <w:p>
      <w:r>
        <w:t>A/1834/2022 - 23/29 -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En l’occurrence, ces conditions sont toutes remplies : on constate en effet que les questions sur lesquelles le Dr P______ s’est prononcé se recoupent avec celles – relatives à la capacité de travail et à l’IPAI – auxquelles le Dr O______ a répondu à la demande de l’intimée, de sorte que l’on peut parler d’un état de fait commun malgré la présence d’éléments nouveaux (bilan neuropsychologique dès septembre 2022 et IRM cérébrale du 22 septembre 2022) qui s’y ajoutent et apportent un éclairage nouveau sur des éléments préexistants au moment de la décision litigieuse (examens neuropsychologiques de 2017 et 2018 ; cf. ci-après : consid. 11.2). Comme par ailleurs, l’intimée s’est prononcée non seulement sur le droit à la rente et l’IPAI (dans la décision sur opposition litigieuse) mais aussi sur l’expertise privée du Dr P______ en soutenant, le 14 février 2023, que celle-ci n’apportait rien de nouveau par rapport à celle réalisée en 2018 par l’expert K______, il y a lieu de considérer que la cause est en état d’être jugée et que l’intimée a eu l’occasion de se déterminer sur un élargissement temporel de l’objet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