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ATAS/388/2019 vom 2. Mai 2019</w:t>
      </w:r>
    </w:p>
    <w:p>
      <w:r>
        <w:t>GE Cour de justice, 2019-05-02, FR</w:t>
      </w:r>
    </w:p>
    <w:p>
      <w:r>
        <w:rPr>
          <w:b/>
        </w:rPr>
        <w:t xml:space="preserve">Quelle: </w:t>
      </w:r>
      <w:r>
        <w:t>https://mcp.opencaselaw.ch/entscheid/ge_gerichte_ATAS_388_2019</w:t>
      </w:r>
    </w:p>
    <w:p>
      <w:r>
        <w:t>FR: GE_GERICHTE ATAS/388/2019 du 2 mai 2019</w:t>
      </w:r>
    </w:p>
    <w:p>
      <w:r>
        <w:t>IT: GE_GERICHTE ATAS/388/2019 del 2 maggio 2019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A/4352/2018 ATAS/388/2019 COUR DE JUSTICE Chambre des assurances sociales Arrêt du 2 mai 2019 3ème Chambre</w:t>
      </w:r>
    </w:p>
    <w:p>
      <w:r>
        <w:t>En la cause Monsieur A______, domicilié à GENÈVE, représenté par l’Association suisse des assurés (ASSUAS)</w:t>
      </w:r>
    </w:p>
    <w:p>
      <w:r>
        <w:t>recourant</w:t>
      </w:r>
    </w:p>
    <w:p>
      <w:r>
        <w:t>contre CAISSE NATIONALE SUISSE D'ASSURANCE EN CAS D'ACCIDENTS (SUVA), Division juridique, Fluhmattstrasse 1 ; LUZERN intimée</w:t>
      </w:r>
    </w:p>
    <w:p>
      <w:r>
        <w:t>A/4352/2018 - 2/2 - Vu la décision de la Caisse nationale suisse d’assurance en cas d’accidents (ci-après : SUVA) du 8 mai 2018, confirmée sur opposition le 7 novembre 2018 - notifiée le lendemain - de mettre un terme au versement des indemnités journalières à Monsieur A______ (ci-après : l’assuré) ; Vu le recours interjeté par l’assuré le 11 décembre 2018 (date du timbre postal) ; Vu le courrier adressé par la Cour de céans au recourant le 18 décembre 2019 l’invitant à expliquer les raisons de la tardiveté de son recours ; Vu les explications du recourant du 19 décembre 2019, dont il ressortait qu’il avait déposé son recours dans un automate « MyPost 24 » le 10 décembre 2018 ; Vu la réponse de l’intimée du 4 mars 2019, concluant au rejet du recours ; Vu la réplique de l’assuré du 15 avril 2019 indiquant qu’il retirait son recours ; Attendu qu’il convient d’en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