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ATAS/387/2016 vom 17. Mai 2016</w:t>
      </w:r>
    </w:p>
    <w:p>
      <w:r>
        <w:t>GE Cour de justice, 2016-05-17, FR</w:t>
      </w:r>
    </w:p>
    <w:p>
      <w:r>
        <w:rPr>
          <w:b/>
        </w:rPr>
        <w:t xml:space="preserve">Quelle: </w:t>
      </w:r>
      <w:r>
        <w:t>https://mcp.opencaselaw.ch/entscheid/ge_gerichte_ATAS_387_2016</w:t>
      </w:r>
    </w:p>
    <w:p>
      <w:r>
        <w:t>FR: GE_GERICHTE ATAS/387/2016 du 17 mai 2016</w:t>
      </w:r>
    </w:p>
    <w:p>
      <w:r>
        <w:t>IT: GE_GERICHTE ATAS/387/2016 del 17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t>A/3401/2014 - 12/21 -</w:t>
      </w:r>
    </w:p>
    <w:p>
      <w:r>
        <w:rPr>
          <w:b/>
        </w:rPr>
        <w:t>E. 4</w:t>
      </w:r>
    </w:p>
    <w:p>
      <w:r>
        <w:t>Le litige porte sur le droit du recourant à une rente d'invalidité et à des mesures d’ordre professionnel.</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L'invalidité est désormais définie à l'art. 8 al. 1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On rappellera en outre qu'à l'inverse de l'assurance- invalidité, la responsabilité de l'assureur-accidents se limite aux seules atteintes à la santé qui se trouvent en lien de causalité naturelle et adéquate avec l'événement accidentel assuré, ce qui explique que les degrés d'invalidité auxquels aboutissent ces deux assureurs sociaux divergent parfois, s'agissant d'un même assuré (arrêt du Tribunal fédéral des assurances U 336/01 du 25 octobre 2002 consid. 2).</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A/3401/2014 - 13/21 -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8</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A/3401/2014 - 14/21 -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Lorsqu'il s'agit d'examiner dans quelle mesure un assuré peut encore exploiter économiquement sa capacité de gain résiduelle sur le marché du travail entrant en</w:t>
      </w:r>
    </w:p>
    <w:p>
      <w:r>
        <w:t>A/3401/2014 - 15/21 -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w:t>
      </w:r>
    </w:p>
    <w:p>
      <w:r>
        <w:rPr>
          <w:b/>
        </w:rPr>
        <w:t>E. 11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w:t>
      </w:r>
    </w:p>
    <w:p>
      <w:r>
        <w:t>A/3401/2014 - 16/21 -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12</w:t>
      </w:r>
    </w:p>
    <w:p>
      <w:r>
        <w:t>En l’espèce, l’intimé a retenu que le recourant présentait désormais une capacité de travail totale dans une activité adaptée, ce que ce dernier conteste. Il convient en premier lieu de déterminer si les rapports médicaux versés au dossier permettent de trancher cette question. Tel est bien le cas. Les médecins de la CRR ont en effet admis au terme du séjour du recourant que ce dernier pouvait exercer à plein temps une activité adaptée à ses limitations fonctionnelles. Leur rapport a été établi en parfaite connaissance des plaintes du recourant, de son historique médical et repose sur un status clinique complété par plusieurs examens radiologiques et des mesures par des physiothérapeutes. Leurs conclusions sont en outre claires et exemptes de contradictions. Leur rapport comprend ainsi tous les éléments requis selon la jurisprudence pour se voir reconnaître une pleine valeur probante. Contrairement à ce qu’affirme le recourant, le but thérapeutique du séjour à la CRR est sans incidence sur la force probante du rapport établi à son issue, qui s’analyse uniquement à l’aune des critères dégagés par le Tribunal fédéral et rappelés ci-dessus. On notera au demeurant qu’il n’existe aucun autre rapport émanant d’un médecin qui permettrait de remettre en cause les conclusions des Drs N______ et O______. Dans son rapport du 7 avril 2014, le Dr G______ a en effet admis que la capacité de travail du recourant était totale dans une activité adaptée. On soulignera qu’au plan oto-neurologique, le Dr K______ n’excluait pas une reprise du travail à fin octobre 2013 déjà. Du point de vue ophtalmologique, le Prof. Q______ a également admis une capacité de travail entière sous réserve de certaines limitations fonctionnelles, à l’instar de la Dresse L______. S’agissant des limitations fonctionnelles, qui n’ont selon le recourant pas suffisamment été instruites par l’intimé, elles ressortent clairement des rapports médicaux. Les médecins de la CRR ont en particulier mentionné des restrictions précises en lien avec les troubles rhumatologiques du recourant. Le SMR les a ensuite complétées par celles du Prof. Q______. Les limitations signalées par la Dresse L______ se confondent largement avec celles du Prof. Q______, étant souligné qu’une activité de bureau ne comprend pas nécessairement des efforts de lecture soutenus. Cette neurologue exclut également la conduite professionnelle. Même s’il fallait admettre que cette limitation se justifie au vu de l’atteinte</w:t>
      </w:r>
    </w:p>
    <w:p>
      <w:r>
        <w:t>A/3401/2014 - 17/21 - ophtalmologique du recourant, toutes les activités n’impliquant ni port de charges ni mouvements de la nuque et maintien des bras prolongé au-dessus des épaules et sans efforts visuels soutenus restent accessibles au recourant. Partant, l’impossibilité de la conduite à titre professionnel mentionnée par la Dresse L______ ne suffit pas à exclure le caractère réaliste d’une mise en valeur de la capacité résiduelle de travail du recourant sur un marché du travail équilibré. Quant au rapport de Madame R______, la chambre de céans relève en premier lieu qu’il n’émane pas d’un médecin. De plus, les handicaps qu’elle décrit sont essentiellement ceux que le recourant lui a annoncés, de sorte qu’il s’agit d’une appréciation subjective. Dans ces conditions, on ne saurait s’écarter des conclusions du Prof. Q______, qui reposent sur des constatations médicales objectives. Les arguments du recourant n’y suffisent en particulier pas. Contrairement à ce qu’il allègue, les troubles de la vue ont été pris en compte dans la définition d’une activité adaptée, puisque le Dr P______ a modifié ses conclusions par avis du 15 octobre 2014. Le recourant ne produit en outre aucun élément médical étayant son allégation, selon laquelle ses limitations fonctionnelles ont été sous-évaluées. Il mentionne également des céphalées que l’intimé n’aurait pas prises en compte dans son appréciation. Or, il ne ressort pas des rapports de la CRR et du Prof. Q______ – dont le recourant n’affirme pas qu’ils seraient incomplets sur ce point – qu’il se serait plaint de maux de tête. La Dresse L______ ne mentionne pas non plus de tels troubles dans son rapport du 4 septembre 2014. Partant, on ne saurait faire grief à l’intimé de ne pas en avoir tenu compte. Il convient en outre de rappeler que le recourant présentait déjà des céphalées récurrentes avant l’accident survenu le 11 février 2013, comme cela ressort du rapport du Dr K______ d’octobre 2010, ce qui ne l’a pas empêché d’exercer une activité lucrative à plein temps pendant plusieurs années. Dans ces conditions, même si les maux de tête du recourant pouvaient être objectivés, on ne saurait retenir qu’ils entravent la reprise d’une activité professionnelle adaptée. Enfin, le recourant ne saurait être suivi en tant qu’il reproche aux médecins de la CRR de ne pas avoir tenu compte de ses douleurs cervicales et de ses discopathies. En premier lieu, les troubles dégénératifs ne sont en principe pas à la charge de l’assurance-accidents, si bien qu’il était normal que les Drs N______ et O______ ne les décrivent pas longuement dans le cadre d’un rapport destiné à la Suva. De plus, le Dr G______ a implicitement admis que les limitations fonctionnelles qui ressortent du rapport de la CRR étaient adaptées à l’état de santé du recourant, puisqu’il a mentionné dans son rapport du 7 avril 2014 une capacité de travail totale dans une activité respectant ces limitations, sans ajouter de restriction liée aux discopathies. Partant, la chambre de céans ne s’écartera pas des conclusions des médecins, selon lesquelles le recourant présente une capacité de travail totale dans une activité adaptée. Par conséquent, par appréciation anticipée des preuves (ATF 130 II 425 consid. 2.1; ATF 124 V 90 consid. 4b; ATF 122 V 157 consid. 1d), elle ne fera pas</w:t>
      </w:r>
    </w:p>
    <w:p>
      <w:r>
        <w:t>A/3401/2014 - 18/21 - droit à la requête du recourant tendant à l’audition de témoins et à la mise en œuvre d’une expertise.</w:t>
      </w:r>
    </w:p>
    <w:p>
      <w:r>
        <w:rPr>
          <w:b/>
        </w:rPr>
        <w:t>E. 13</w:t>
      </w:r>
    </w:p>
    <w:p>
      <w:r>
        <w:t>Il y a lieu à présent d’examiner à partir de quand le recourant disposait d’une capacité de travail dans une activité adaptée. Le Dr P______ a retenu que tel était le cas dès le 21 octobre 2013, date à laquelle le recourant a repris son emploi de peintre à 50 %, conformément aux instructions du médecin d’arrondissement de la Suva. On ne saurait cependant le suivre sur ce point. En effet, ni les médecins de la CRR – ni aucun praticien ayant examiné le recourant – n’ont fait état d’une capacité de travail dans une activité adaptée à partir de cette date. De plus, les Drs N______ et O______ ont indiqué dans leur rapport du 7 mars 2014 que l’état de santé du recourant serait stabilisé trois mois plus tard, soit le 7 juin 2014.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Partant, on ne saurait retenir que le recourant a présenté une capacité de travail dans une activité adaptée avant la stabilisation de son état de santé, soit avant le mois de juin 2014. On doit ainsi admettre que le recourant disposait d’une capacité de travail dans une activité adaptée dès le mois de juillet 2014 au plus tôt.</w:t>
      </w:r>
    </w:p>
    <w:p>
      <w:r>
        <w:rPr>
          <w:b/>
        </w:rPr>
        <w:t>E. 14</w:t>
      </w:r>
    </w:p>
    <w:p>
      <w:r>
        <w:t>Compte tenu de ce qui précède, on tiendra compte d’une incapacité de travail totale du 11 février 2013 à juin 2014. La demande de prestations du recourant ayant été déposée en juin 2013, la condition prévue à l’art. 29 al. 1 LAI, subordonnant la naissance du droit à la rente à l’échéance d’un délai de six mois depuis le dépôt de la demande, est remplie à l’expiration du délai de carence d’une année selon l’art. 28 al. 1 let. b LAI, soit en février 2014. Le recourant a ainsi droit à une rente entière d’invalidité dès le 1er février 2014. En ce qui concerne la fin du droit à la rente, il faut rappeler que selon la jurisprudence, l'art. 17 LPGA sur la révision d'une rente en cours s'applique également à la décision par laquelle une rente échelonnée dans le temps est accordée avec effet rétroactif, la date de la modification étant déterminée conformément à l'art. 88a RAI.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Toutefois, lorsque la révision de la rente n'est pas justifiée par une évolution de l'état de santé, à savoir par un</w:t>
      </w:r>
    </w:p>
    <w:p>
      <w:r>
        <w:t>A/3401/2014 - 19/21 - phénomène pathologique labile, mais qu'elle s'inscrit dans un contexte où celui-ci apparaît comme stabilisé, il peut être fait abstraction du délai de trois mois prévu à l'art. 88a RAI (arrêt du Tribunal fédéral des assurances I 930/05 du 15 décembre 2006 consid. 5).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on attendra en revanche trois mois au cas où le caractère évolutif de l'atteinte à la santé, notamment la possibilité d'une aggravation, ne permettrait pas un jugement immédiat.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l’espèce, le délai de trois mois articulé par les médecins de la CRR étant précisément censé permettre de parachever la stabilisation, il y a lieu de considérer qu’à son terme, l’état de santé était stable. Aucun élément médical attestant du contraire n’a d’ailleurs été versé à la procédure. On se trouve ainsi dans l’hypothèse visée par la jurisprudence précitée, et il convient donc de faire abstraction du délai prévu par l’art. 88a al. 1 RAI.</w:t>
      </w:r>
    </w:p>
    <w:p>
      <w:r>
        <w:rPr>
          <w:b/>
        </w:rPr>
        <w:t>E. 15</w:t>
      </w:r>
    </w:p>
    <w:p>
      <w:r>
        <w:t>Il convient à présent de vérifier si le degré d’invalidité que présente le recourant dès la date à laquelle une activité adaptée, soit dès le 1er juillet 2014, exclut le droit aux prestations d’invalidité. A titre de revenu sans invalidité, l’intimé s’est fondé sur un montant de CHF 58'240.-, se référant aux données communiquées par l’employeur. Ce chiffre correspond à treize mensualités de CHF 4'480.-, soit le salaire mensuel indiqué pour 2013 par B______ Sàrl dans le questionnaire du 19 octobre 2013. La chambre de céans relève que ce revenu est largement supérieur à celui réalisé en 2012. Elle ne s’en écartera toutefois pas, dès lors qu’il est favorable au recourant. L’année de naissance du droit à la rente étant 2014, il convient de prendre en compte l’évolution du revenu jusqu’à cette année (cf. arrêt du Tribunal fédéral 9C_725/2015 du 5 avril 2016 consid. 4.1). Le revenu sans invalidité peut ainsi être fixé à CHF 58'647.68 pour 2014. S’agissant du revenu avec invalidité, le recours aux données statistiques est conforme à la jurisprudence citée. Les salaires statistiques de 2012 n’ayant été publiés que le 22 octobre 2012, l’intimé n’en disposait pas encore au moment où il a rendu la décision litigieuse. C’est ainsi à juste titre qu’il s’est fondé sur les chiffres tirés de l’ESS 2010 (arrêt du Tribunal fédéral 9C_526/2015 du 11 septembre 2015 consid. 3.2.2). Le revenu tiré d’activités simples et répétitives en 2010 s’élevait à CHF 4'901.- par mois pour une</w:t>
      </w:r>
    </w:p>
    <w:p>
      <w:r>
        <w:t>A/3401/2014 - 20/21 - durée hebdomadaire de travail de 40 heures. Indexé et adapté à la durée hebdomadaire de 41.7 heures en 2014 selon la statistique sur la durée normale du travail (DNT), le revenu avec invalidité s’élève ainsi à CHF 63'359.80 avant la réduction statistique. L’intimé a appliqué un abattement de 10 % sur ce revenu. Ce faisant, il n’a pas abusé de son pouvoir d’appréciation et la chambre de céans n’est ainsi pas fondée à en revoir l’étendue. Cette réduction amène le revenu avec invalidité à CHF 57'023.10. La comparaison de ces revenus aboutit à un degré d’invalidité de 2.77 %, insuffisant pour ouvrir le droit aux prestations. Le recourant ne peut ainsi prétendre à des mesures d’ordre professionnel ou à une rente dès le 1er juillet 2014.</w:t>
      </w:r>
    </w:p>
    <w:p>
      <w:r>
        <w:rPr>
          <w:b/>
        </w:rPr>
        <w:t>E. 16</w:t>
      </w:r>
    </w:p>
    <w:p>
      <w:r>
        <w:t>Eu égard à ce qui précède, le recours sera partiellement admis. Le recourant, qui obtient gain de cause, a droit à une indemnité de dépens qu’il convient de fixer à CHF 1'000.- (art. 61 let. g LPGA). La procédure en matière d’assurance-invalidité n'étant pas gratuite (art. 69 al. 1bis LAI), l’intimé sera condamné au paiement d’un émolument de CHF 500.-.</w:t>
      </w:r>
    </w:p>
    <w:p>
      <w:r>
        <w:t>A/3401/2014 - 21/21 -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