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ATAS/387/2010 vom 16. November 2009</w:t>
      </w:r>
    </w:p>
    <w:p>
      <w:r>
        <w:t>GE Cour de justice, 2009-11-16, FR</w:t>
      </w:r>
    </w:p>
    <w:p>
      <w:r>
        <w:rPr>
          <w:b/>
        </w:rPr>
        <w:t xml:space="preserve">Quelle: </w:t>
      </w:r>
      <w:r>
        <w:t>https://mcp.opencaselaw.ch/entscheid/ge_gerichte_ATAS_387_2010</w:t>
      </w:r>
    </w:p>
    <w:p>
      <w:r>
        <w:t>FR: GE_GERICHTE ATAS/387/2010 du 16 novembre 2009</w:t>
      </w:r>
    </w:p>
    <w:p>
      <w:r>
        <w:t>IT: GE_GERICHTE ATAS/387/2010 del 16 novembre 2009</w:t>
      </w:r>
    </w:p>
    <w:p>
      <w:pPr>
        <w:pStyle w:val="Heading2"/>
      </w:pPr>
      <w:r>
        <w:t>Erwägungen</w:t>
      </w:r>
    </w:p>
    <w:p>
      <w:r>
        <w:rPr>
          <w:b/>
        </w:rPr>
        <w:t>E. 1</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de 9 jours du droit à l'indemnité du recourant.</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w:t>
      </w:r>
    </w:p>
    <w:p>
      <w:r>
        <w:t>Le droit de l’assuré à l’indemnité est suspendu lorsqu’il est établi que celui-ci ne fait pas tout ce qu'on peut raisonnablement exiger de lui pour trouver un travail convenable (cf. art. 30 al. 1 let. c LACI).</w:t>
      </w:r>
    </w:p>
    <w:p>
      <w:r>
        <w:t>A/534/2010 - 6/8 -</w:t>
      </w:r>
    </w:p>
    <w:p>
      <w:r>
        <w:t>Ce motif de suspension est aussi réalisé lorsque l'assuré ne se conforme pas à ce devoir avant de tomber au chômage (art. 45 al. 1 let. a OACI). L'assuré doit donc s'efforcer déjà pendant le délai de congé de trouver un nouvel emploi (DTA 1987 no 2 p. 31 consid. 15; ATF du 16 septembre 2002 C 141/02). Ainsi tout chômeur est en principe tenu de rechercher un emploi avant même de présenter une demande d'indemnité. Il doit notamment remplir cette obligation déjà pendant le délai de congé ou au cours des derniers mois d'un emploi de durée déterminée, et même en cas de vacances à l'étranger (circulaire relative à l'indemnité de chômage du SECO - janvier 2007 B 314).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op.cit. B 316).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suffisantes, l’autorité doit infliger une sanction de 3 à 4 jours si le délai de congé est de un mois, de 6 à 8 jours si le délai de congé est de deux mois et de 9 à 12 jours si le délai de congé est de trois mois et plus (circulaire op.cit. D 72). Le Tribunal de céans doit se limiter à examiner si l'administration a fait un usage critiquable de son pouvoir d'appréciation (ATF du 16 avril 2008, 8C 316/07).</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l’intimé a pris en compte 4 recherches d’emploi fournies par le recourant pendant son délai de congé de 3 mois (août à octobre 2009) et considéré</w:t>
      </w:r>
    </w:p>
    <w:p>
      <w:r>
        <w:t>A/534/2010 - 7/8 - que ce nombre était insuffisant de sorte qu’il justifiait la sanction minimale selon le barème du SECO, soit 9 jours de suspension de droit à l’indemnité du recourant. Force est de constater que l’intimé n’a pas fait un usage critiquable de son pouvoir d’appréciation. En effet, chaque recherche pour laquelle le recourant a été en mesure de fournir une date précise, soit le jour où la rencontre personnelle avec la personne citée a eu lieu, a été prise en compte par l’intimé. Il s’agit, d’une part, du repas avec Monsieur A________ le 16 septembre 2009 et, d’autre part, de la rencontre avec Monsieur I________ les 29 septembre et 12 octobre 2009. En outre, l’intimé a également admis que les deux contacts mentionnées dans la feuille de preuve de recherches personnelles effectuées en vue d’un emploi pour le mois d’octobre 2009, même sans mention de date précise, pouvaient être prises en compte. Pour le reste, il convient de constater que le recourant s’est contenté de mentionner des rencontres avec des personnes qu’il connaissait, soit de façon privée, soit professionnellement, de sorte que c’est à juste titre que l’intimé a considéré qu’il avait failli à son obligation de preuve de recherches personnelles d’emploi. A cet égard, les arguments avancés par le recourant ne sont pas pertinents, soit le temps consacré à la préparation de sa défense dans le cadre de la procédure pendante devant le Tribunal administratif, dès lors que l’on ne voit pas en quoi le recourant aurait été empêché de faire, en parallèle, ses recherches d’emploi, de surcroît ayant été libéré dès courant septembre 2009 de son obligation de travailler, la procédure d’évacuation de son logement dans la mesure où celle-ci a été prononcée pour le 15 janvier 2010, soit postérieurement à la période en cause, le fait qu’il n’aurait eu aucune obligation vis-à-vis de l’assurance-chômage antérieurement à son inscription à l’OCE, ce qui est contraire à l’art 45 al. 1 let a OACI, et, enfin, le fait qu’il était convaincu que les exigences de l’OCE vis-à-vis des recherches d’emploi étaient inutiles, ces exigences étant prévues par la LACI et l’OACI. Au vu de ce qui précède, il y a lieu de constater que le recourant n’a pas fourni un nombre suffisant de recherches durant les 3 mois de son délai de congé de sorte que la sanction litigieuse, soit 9 jours de suspension de son droit à l’indemnité, ne peut qu’être confirmée. Partant, le recours sera rejeté.</w:t>
      </w:r>
    </w:p>
    <w:p>
      <w:r>
        <w:t>A/534/2010 - 8/8 -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