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ATAS/386/2026 vom 7. Mai 2026</w:t>
      </w:r>
    </w:p>
    <w:p>
      <w:r>
        <w:t>GE Cour de justice, 2026-05-07, FR</w:t>
      </w:r>
    </w:p>
    <w:p>
      <w:r>
        <w:rPr>
          <w:b/>
        </w:rPr>
        <w:t xml:space="preserve">Quelle: </w:t>
      </w:r>
      <w:r>
        <w:t>https://mcp.opencaselaw.ch/entscheid/ge_gerichte_ATAS_386_2026</w:t>
      </w:r>
    </w:p>
    <w:p>
      <w:r>
        <w:t>FR: GE_GERICHTE ATAS/386/2026 du 7 mai 2026</w:t>
      </w:r>
    </w:p>
    <w:p>
      <w:r>
        <w:t>IT: GE_GERICHTE ATAS/386/2026 del 7 maggio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Conformément à l'art. 134 al. 1 let. a ch. 4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 maladie, du 18 mars 1994 (LAMal - RS 832.10). Sa compétence ratione materiae pour juger du cas d’espèce est ainsi établie.</w:t>
      </w:r>
    </w:p>
    <w:p>
      <w:r>
        <w:rPr>
          <w:b/>
        </w:rPr>
        <w:t>E. 1.2</w:t>
      </w:r>
    </w:p>
    <w:p>
      <w:r>
        <w:t>L’art. 52 al. 1 LPGA prévoit cependant qu’avant d’être soumises au Tribunal, les décisions d’un assureur doivent être attaquées dans les trente jours par voie d’opposition auprès de l’assureur qui les a rendues. Cette voie de droit est d’ailleurs celle indiquée par l’assurance dans la décision du 24 mars 2026. C’est donc de manière manifestement erronée que l’assurance a transmis l’opposition de l’assurée à la Cour de céans. Il convient donc de la lui renvoyer. En effet, l'art. 11 al. 3 de la loi cantonale du 12 septembre 1985 sur la procédure administrative (LPA ; E 5 10) – applicable par renvoi de l'art. 89A LPA – prévoit que l'autorité qui décline sa compétence transmet d'office l'affaire à l'autorité compétente, à qui il incombera de rendre une décision sur opposition après avoir examiné notamment si l'assurée a agi en temps utile.</w:t>
      </w:r>
    </w:p>
    <w:p>
      <w:r>
        <w:t>***</w:t>
      </w:r>
    </w:p>
    <w:p>
      <w:r>
        <w:t>A/1527/2026 - 4/4 - PAR CES MOTIFS, LA CHAMBRE DES ASSURANCES SOCIALES : Statuant en application de l'art. 133 al. 4 let. b de la loi sur l’organisation judiciaire du 26 septembre 2010 (E 2 05)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