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ATAS/386/2021 vom 27. April 2021</w:t>
      </w:r>
    </w:p>
    <w:p>
      <w:r>
        <w:t>GE Cour de justice, 2021-04-27, FR</w:t>
      </w:r>
    </w:p>
    <w:p>
      <w:r>
        <w:rPr>
          <w:b/>
        </w:rPr>
        <w:t xml:space="preserve">Quelle: </w:t>
      </w:r>
      <w:r>
        <w:t>https://mcp.opencaselaw.ch/entscheid/ge_gerichte_ATAS_386_2021</w:t>
      </w:r>
    </w:p>
    <w:p>
      <w:r>
        <w:t>FR: GE_GERICHTE ATAS/386/2021 du 27 avril 2021</w:t>
      </w:r>
    </w:p>
    <w:p>
      <w:r>
        <w:t>IT: GE_GERICHTE ATAS/386/2021 del 27 aprile 2021</w:t>
      </w:r>
    </w:p>
    <w:p>
      <w:pPr>
        <w:pStyle w:val="Heading2"/>
      </w:pPr>
      <w:r>
        <w:t>Erwägungen</w:t>
      </w:r>
    </w:p>
    <w:p>
      <w:r>
        <w:rPr>
          <w:b/>
        </w:rPr>
        <w:t>E. 1</w:t>
      </w:r>
    </w:p>
    <w:p>
      <w:r>
        <w:t>Donne acte à l’OAI de son engagement à réformer sa décision du 7 décembre 2020 dans le sens que la recourante a droit à une rente entière d’invalidité dès le 1er juillet 2018.</w:t>
      </w:r>
    </w:p>
    <w:p>
      <w:r>
        <w:rPr>
          <w:b/>
        </w:rPr>
        <w:t>E. 2</w:t>
      </w:r>
    </w:p>
    <w:p>
      <w:r>
        <w:t>L’y condamne en tant que de besoin.</w:t>
      </w:r>
    </w:p>
    <w:p>
      <w:r>
        <w:rPr>
          <w:b/>
        </w:rPr>
        <w:t>E. 3</w:t>
      </w:r>
    </w:p>
    <w:p>
      <w:r>
        <w:t>Renonce à percevoir l'émolument.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Marie NIERMARÉCHAL</w:t>
      </w:r>
    </w:p>
    <w:p>
      <w:r>
        <w:t>La présidente :</w:t>
      </w:r>
    </w:p>
    <w:p>
      <w:r>
        <w:t>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