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ATAS/386/2018 vom 3. Mai 2018</w:t>
      </w:r>
    </w:p>
    <w:p>
      <w:r>
        <w:t>GE Cour de justice, 2018-05-03, FR</w:t>
      </w:r>
    </w:p>
    <w:p>
      <w:r>
        <w:rPr>
          <w:b/>
        </w:rPr>
        <w:t xml:space="preserve">Quelle: </w:t>
      </w:r>
      <w:r>
        <w:t>https://mcp.opencaselaw.ch/entscheid/ge_gerichte_ATAS_386_2018</w:t>
      </w:r>
    </w:p>
    <w:p>
      <w:r>
        <w:t>FR: GE_GERICHTE ATAS/386/2018 du 3 mai 2018</w:t>
      </w:r>
    </w:p>
    <w:p>
      <w:r>
        <w:t>IT: GE_GERICHTE ATAS/386/2018 del 3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a droit à une rente d’invalidité entière.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A/4267/2017 - 6/12 -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A/4267/2017 - 7/12 - exprimées, qu'il ait été établi en pleine connaissance du dossier (anamnèse), que la description des interférences médicales soit claire et enfin que les conclusions de l'expert soient bien motivées (ATF 134 V 231 consid. 5.1; ATF 133 V 450 consid. 11.1.3; ATF 125 V 351 consid. 3). c. Un avis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w:t>
      </w:r>
    </w:p>
    <w:p>
      <w:r>
        <w:rPr>
          <w:b/>
        </w:rPr>
        <w:t>E. 8</w:t>
      </w:r>
    </w:p>
    <w:p>
      <w:r>
        <w:t>En l’occurrence, le recourant se fonde sur les avis de ses médecins traitants pour considérer que sa capacité de travail est nulle dans n’importe quelle activité. Toutefois, le Dr E______ fait part à l’OAI le 17 septembre 2017 que l’état dépressif du recourant s’est amendé, si bien qu’il n’y a plus aucun motif d’attribution d’une rente sur le plan psychique. En ce qui concerne la Dresse D______, elle indique certes dans son rapport du 12 juillet 2016 que la capacité de travail du recourant est nulle depuis le 12 janvier 2016. Toutefois, auparavant, elle mentionne dans son rapport du 24 mars 2016 que la santé du recourant justifierait une réduction du temps de travail à 50 % depuis des années. Par la suite, elle déclare au mandataire du recourant que celui-ci est capable de faire un certain travail intellectuel sur un temps quotidien restreint, tout en précisant que l’expérience a montré qu’il présentait des épisodes infectieux répétés quand il travaillait. Quant au Dr</w:t>
      </w:r>
    </w:p>
    <w:p>
      <w:r>
        <w:t>A/4267/2017 - 8/12 - C______, il mentionne uniquement, dans son rapport du 16 février 2016, que les divers problèmes urologiques entraînant un état dépressif justifieraient une rente d’invalidité, sans donner une indication quant au taux de l’incapacité de travail. De surcroît, le recourant était encore atteint, à l’époque du rapport du Dr C______, d’un état dépressif engendrant une incapacité de travail totale. Enfin, lors de son entretien en date du 24 août 2016 avec l’OAI en vue de son intégration professionnelle, le recourant déclare lui-même que, sans tenir compte des infections à répétition, il se sentirait parfaitement capable de travailler, même à 100 %. Dans son recours, le recourant se prévaut essentiellement de ce qu’il est sujet à des infections à répétition lorsqu’il travaille, raison pour laquelle son incapacité de travail est nulle dans n’importe quel emploi. Toutefois, le recourant exerçait auparavant un métier très stressant à 100%, nécessitant de surcroit de nombreuses heures supplémentaires, ce qui l’a empêché d’effectuer des soins d’hygiène nécessaires, soit la vidange de sa poche urinaire. Le recourant n’a jamais exercé une activité professionnelle à temps partiel, si bien qu’il ne peut être considéré comme établi qu’il souffrirait également d’infections urinaires à répétition, s’il avait plus de temps à consacrer à la vidange de la poche urinaire. Par ailleurs, la Dresse D______ précise dans son rapport du 12 juillet 2016 qu'il enchaînait des surinfections sévères urinaires dans les phases d’épuisement. Ainsi, il peut être supposé qu'il n’y a plus de risque de ce genre dans un emploi à 50% qui laisse au recourant suffisamment de temps pour les soins hygiéniques et son repos. Cela étant, en se fondant précisément sur les rapports médicaux des médecins traitants et les déclarations du recourant à l’OAI, l’appréciation du SMR, selon laquelle la capacité de travail est de 50 % dans l'activité habituelle, paraît convaincante. Le recourant n'a pas non plus produit un avis médical mettant en doute cette appréciation et les rapports de ses médecins traitants ne sont pas contradictoires, si bien qu'il n'y a pas lieu de procéder à une instruction complémentaire.</w:t>
      </w:r>
    </w:p>
    <w:p>
      <w:r>
        <w:rPr>
          <w:b/>
        </w:rPr>
        <w:t>E. 9</w:t>
      </w:r>
    </w:p>
    <w:p>
      <w:r>
        <w:t>Il sied dès lors d'établir la perte de gain du recourant dans une activité à 50% dans le secteur bancaire, étant précisé qu'il a perdu son emploi.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A/4267/2017 - 9/12 -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des salaires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e. Les salaires ressortant des statistiques doivent cependant être réduits en prenant en considération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w:t>
      </w:r>
    </w:p>
    <w:p>
      <w:r>
        <w:t>A/4267/2017 - 10/12 - différents éléments qui peuvent influencer le revenu d'une activité lucrative (ATF 126 V 75 consid. 5b/aa-cc). L'étendue de l'abattement justifié dans un cas concret relève du pouvoir d'appréciation (ATF 132 V 393 consid. 3.3).</w:t>
      </w:r>
    </w:p>
    <w:p>
      <w:r>
        <w:rPr>
          <w:b/>
        </w:rPr>
        <w:t>E. 10</w:t>
      </w:r>
    </w:p>
    <w:p>
      <w:r>
        <w:t>En l’espèce, dès lors que le recourant a perdu son travail et qu’il n’a pas repris une activité professionnelle, il y a lieu de se fonder sur les salaires statistiques pour établir son revenu d’invalide. Le salaire de référence est en l’espèce celui auquel peuvent prétendre les hommes effectuant des tâches qui exigent une capacité à résoudre des problèmes complexes et à prendre des décisions fondées sur un vaste ensemble de connaissances théoriques et factuelles dans un domaine spécialisé (niveau de compétence 4) dans les services financiers et activités auxiliaires de services financiers et d'assurance, secteur privé, à savoir CHF 132'648.- (ESS 2012, TA1_skill_level, p. 34. ligne 64, 66). Comme les salaires bruts standardisés tiennent compte d’un horaire de travail de 40 heures, soit d’une durée hebdomadaire inférieure dans les entreprises des services financiers en 2016 (41,6 heures), se montant doit être porté à CHF 137'954.-. Il y a par ailleurs lieu d’adapter ce salaire à l’évolution des salaires entre 2012 et 2015 (les données pour 2016 n’étant pas encore disponibles), de sorte que ce chiffre doit être porté à CHF 140'349.90. Au taux de 50 %, le salaire d’invalide s'élève donc à CHF 70'174.95. Au vu du taux d’activité partiel et les contraintes pour la vidange de la vessie, dont la durée du geste est d’environ de 15 à 20 minutes (avis médical du 11 avril 2017 du SMR), et la nécessité d’effectuer ce geste deux fois dans le milieu de travail dans une activité à mi-temps (au moins quatre fois à 100 %, selon l’avis médical du 7 décembre 2016 du SMR), il se justifie de procéder à une diminution du salaire statistique de 20 %. Ainsi, le salaire d’invalide doit être déterminé à CHF 56'140.-. Comparé au salaire sans invalidité de CHF 176'800.-, selon le questionnaire pour l’employeur que celui-ci a signé le 1er septembre 2016, la perte de gain s’établit à 68,24 %. Ce taux d’invalidité ouvre le droit à une rente d’invalidité de trois-quarts.</w:t>
      </w:r>
    </w:p>
    <w:p>
      <w:r>
        <w:rPr>
          <w:b/>
        </w:rPr>
        <w:t>E. 11</w:t>
      </w:r>
    </w:p>
    <w:p>
      <w:r>
        <w:t>Le recourant réclame également des mesures d'ordre professionnel. Cependant, dès lors qu'il préserve une capacité de travail résiduelle dans son activité habituelle, ces mesures n'ont pas lieu d'être.</w:t>
      </w:r>
    </w:p>
    <w:p>
      <w:r>
        <w:rPr>
          <w:b/>
        </w:rPr>
        <w:t>E. 12</w:t>
      </w:r>
    </w:p>
    <w:p>
      <w:r>
        <w:t>Au vu de ce qui précède, le recours sera partiellement admis et la décision querellée réformée dans le sens que le recourant a droit à un trois-quarts de rente et à une rente complémentaire de trois-quarts pour enfant dès le 1er janvier 2017.</w:t>
      </w:r>
    </w:p>
    <w:p>
      <w:r>
        <w:rPr>
          <w:b/>
        </w:rPr>
        <w:t>E. 13</w:t>
      </w:r>
    </w:p>
    <w:p>
      <w:r>
        <w:t>Dans la mesure où le recourant obtient partiellement gain de cause, une indemnité de CHF 1'500.- lui est octroyée à titre de dépens.</w:t>
      </w:r>
    </w:p>
    <w:p>
      <w:r>
        <w:rPr>
          <w:b/>
        </w:rPr>
        <w:t>E. 14</w:t>
      </w:r>
    </w:p>
    <w:p>
      <w:r>
        <w:t>L’émolument de justice, fixé à CHF 200.-, est mis à la charge de l’intimé.</w:t>
      </w:r>
    </w:p>
    <w:p>
      <w:r>
        <w:t>***</w:t>
      </w:r>
    </w:p>
    <w:p>
      <w:r>
        <w:t>A/4267/2017 - 11/12 -</w:t>
      </w:r>
    </w:p>
    <w:p>
      <w:r>
        <w:t>A/4267/2017 - 12/12 -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