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ATAS/385/2021 vom 27. April 2021</w:t>
      </w:r>
    </w:p>
    <w:p>
      <w:r>
        <w:t>GE Cour de justice, 2021-04-27, FR</w:t>
      </w:r>
    </w:p>
    <w:p>
      <w:r>
        <w:rPr>
          <w:b/>
        </w:rPr>
        <w:t xml:space="preserve">Quelle: </w:t>
      </w:r>
      <w:r>
        <w:t>https://mcp.opencaselaw.ch/entscheid/ge_gerichte_ATAS_385_2021</w:t>
      </w:r>
    </w:p>
    <w:p>
      <w:r>
        <w:t>FR: GE_GERICHTE ATAS/385/2021 du 27 avril 2021</w:t>
      </w:r>
    </w:p>
    <w:p>
      <w:r>
        <w:t>IT: GE_GERICHTE ATAS/385/2021 del 27 aprile 2021</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le recours est recevable (art. 56 ss LPGA).</w:t>
      </w:r>
    </w:p>
    <w:p>
      <w:r>
        <w:rPr>
          <w:b/>
        </w:rPr>
        <w:t>E. 3</w:t>
      </w:r>
    </w:p>
    <w:p>
      <w:r>
        <w:t>Le litige porte sur les rentes complémentaires pour enfants, en particulier sur la question de savoir si le paiement rétroactif desdites rentes peut être versé à la mère.</w:t>
      </w:r>
    </w:p>
    <w:p>
      <w:r>
        <w:rPr>
          <w:b/>
        </w:rPr>
        <w:t>E. 4</w:t>
      </w:r>
    </w:p>
    <w:p>
      <w:r>
        <w:t>a. Aux termes de l'art. 71 de la loi sur la procédure administrative du 12 septembre 1985 (LPA - E 5 10), l'autorité peut ordonner, d'office ou sur requête, l'appel en cause de tiers dont la situation juridique est susceptible d'être affectée par l'issue de la procédure ; la décision leur devient dans ce cas opposable (al. 1). L'appelé en cause peut exercer les droits qui sont conférés aux parties (al. 2). b. En l’occurrence, en tant que le litige porte sur la détermination de celui des parents auquel le paiement rétroactif des rentes pour enfant devra être versé, la mère des enfants est intéressée à l’issue de la présente procédure. Il sera toutefois renoncé à procéder à son appel en cause au vu de l’issue du présent litige.</w:t>
      </w:r>
    </w:p>
    <w:p>
      <w:r>
        <w:t>A/4128/2020 - 4/7 -</w:t>
      </w:r>
    </w:p>
    <w:p>
      <w:r>
        <w:rPr>
          <w:b/>
        </w:rPr>
        <w:t>E. 5</w:t>
      </w:r>
    </w:p>
    <w:p>
      <w:r>
        <w:t>Selon l'art. 49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La décision n'est pas définie dans la LPGA. Elle correspond cependant à la notion de décision au sens de l'art. 5 de la loi sur la procédure administrative (PA – RS 172.021) (ATF 131 V 42 consid. 2.4). Selon cette disposition, sont considérées comme décisions les mesures prises par les autorités dans des cas d'espèce, fondées sur le droit public fédéral et ayant pour objet : de créer, de modifier ou d'annuler des droits ou des obligations (let. a) ; de constater l'existence, l'inexistence ou l'étendue de droits ou d'obligations (let. b) ; de rejeter ou de déclarer irrecevables des demandes tendant à créer, modifier, annuler ou constater des droits ou obligations (let. c). Cette définition correspond presque exactement à celle prévue en droit cantonal, contenue à l'art. 4 al. 1 LPA, dont la teneur est la suivante : sont considérées comme des décisions au sens de l'article 1, les mesures individuelles et concrètes prises par l'autorité dans les cas d'espèce fondées sur le droit public fédéral, cantonal, communal et ayant pour objet : de créer, de modifier ou d'annuler des droits ou des obligations (let. a) ; de constater l'existence, l'inexistence ou l'étendue de droits, d'obligations ou de faits (let. b) ; de rejeter ou de déclarer irrecevables des demandes tendant à créer, modifier, annuler ou constater des droits ou obligations (let. c).</w:t>
      </w:r>
    </w:p>
    <w:p>
      <w:r>
        <w:rPr>
          <w:b/>
        </w:rPr>
        <w:t>E. 6</w:t>
      </w:r>
    </w:p>
    <w:p>
      <w:r>
        <w:t>a. Aux termes de l’art. 35 al. 1 LAI, les hommes et les femmes qui peuvent prétendre une rente d’invalidité ont droit à une rente pour chacun des enfants qui, au décès de ces personnes, auraient droit à la rente d’orphelin de l’assurance-vieillesse et survivants (ci-après : AVS). Les rentes de l'assurance-invalidité n'ont pas pour but d'assurer l'entretien de leurs seuls bénéficiaires, mais aussi de subvenir à celui de leur famille. Si le rentier de l'assurance-invalidité est certes le créancier de ces prestations, il n'en demeure pas moins que les rentes complémentaires pour le conjoint et les enfants sont destinées uniquement à permettre l'entretien de ces derniers, ainsi que l'éducation des enfants (ATF 119 V 425 consid. 4a). La rente complémentaire est ainsi destinée à l'entretien de l'enfant (arrêt du Tribunal fédéral 9C_339/2009 du 1er février 2010 consid. 1.1). L’art. 35 al. 4 LAI et l’art. 22ter al. 2 de la loi fédérale sur l’assurance-vieillesse et survivants du 20 décembre 1946 (LAVS - RS 831.10) ont une formulation identique. Ils prévoient que les rentes pour enfants sont versées comme la rente à laquelle elles se rapportent.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w:t>
      </w:r>
    </w:p>
    <w:p>
      <w:r>
        <w:t>A/4128/2020 - 5/7 - b. L’art. 71ter RAVS prévoit que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(al. 1).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(al. 2). La majorité de l’enfant ne modifie pas le mode de versement appliqué jusque-là, sauf si l’enfant majeur demande que la rente pour enfant lui soit versée directement. Toute décision contraire du juge civil ou de l’autorité tutélaire est réservée (al. 3). La règle prévue à l’art. 71ter al. 2, 2ème phrase, RAVS vise à éviter que lorsque le parent débiteur des contributions d'entretien s'en est effectivement acquitté, les arriérés de la rente pour enfant soient versés à l’enfant. Ceci conduirait en effet à une surindemnisation discutable au regard du but de la rente complémentaire pour enfant, qui tend à alléger le devoir d'entretien du débiteur devenu invalide et à compenser la diminution du revenu de son activité, et non à enrichir le bénéficiaire de l’entretien (arrêt du Tribunal fédéral des assurances I 840/04 du 28 décembre 2005 consid. 4.2). Le Tribunal fédéral a interprété l'art. 71ter al. 2 1ère phr. RAVS en ce sens qu'il autorise également le paiement rétroactif des rentes pour enfants en mains du parent non bénéficiaire de la rente principale, lorsqu'il est établi que les enfants ont vécu de manière durable et stable chez ce parent et que celui-ci a assumé effectivement leur entretien et leur éducation durant cette période (arrêt du Tribunal fédéral des assurances I 364/05 du 19 juin 2006 consid. 4.2). L’application de la règle prévue à l'art. 71ter al. 2, 2ème phrase, RAVS (en lien avec l’art. 285a al. 2 CC) suppose qu’une contribution d’entretien ait été fixée par le juge (ATF 145 V 154 consid. 3.2 et 4.3).</w:t>
      </w:r>
    </w:p>
    <w:p>
      <w:r>
        <w:rPr>
          <w:b/>
        </w:rPr>
        <w:t>E. 7</w:t>
      </w:r>
    </w:p>
    <w:p>
      <w:r>
        <w:t>En l’occurrence, la décision entreprise statue sur le droit de l’assurée à des rentes complémentaires simples pour enfants et en fixe le montant, ainsi que la date à partir de laquelle celles-ci sont dues. La décision prévoit également que les rentes pour enfants doivent être versées sur le compte bancaire de leur père, étant précisé que le sort du montant rétroactif de CHF 17'424.-, correspondant aux prestations échues des enfants de novembre 2019 à novembre 2020, sera décidé ultérieurement, après instruction complémentaire concernant les pensions alimentaires versées par l’ex-épouse du recourant. En cela, la décision renvoie l’examen du versement du montant rétroactif des rentes pour enfants à une décision ultérieure. Dans ces conditions, force est de retenir que l’intimé n’a pas rendu de décision définitive sur la détermination de celui des parents auquel le paiement rétroactif devra être versé, se limitant à signifier au recourant qu’une instruction complémentaire serait menée. Partant, en tant qu’il</w:t>
      </w:r>
    </w:p>
    <w:p>
      <w:r>
        <w:t>A/4128/2020 - 6/7 - porte uniquement sur le paiement rétroactif des rentes pour enfants à leur mère, le recours – prématuré – est irrecevable. La chambre de céans observe, à toutes fins utiles, que si, comme le prétend la caisse dans son écriture du 19 février 2021, la mère des enfants a effectivement été condamnée à verser une contribution d’entretien vis-à-vis de ses enfants par décision du juge et que lesdites contributions ont été acquittées pendant la période déterminante, elle remplirait alors les conditions posées par l’art. 71ter al. 2 RAVS relatives au paiement rétroactif des rentes pour enfants. Elle aurait donc droit au versement des arriérés des rentes allouées du novembre 2019 à novembre 2020 jusqu’à concurrence des contributions mensuelles qu’elle a fournies. Si celles-ci s’avéraient plus élevées que les rentes complémentaires mensuelles, son droit porterait alors sur la totalité des arriérés pour la période en cause. Quoi qu’en dise le recourant, le but de l’art. 71ter al. 2, 2ème phrase, RAVS est d’éviter que lorsque le parent débiteur des contributions d’entretien s’en est effectivement acquitté, les arriérés de la rente pour enfant soient versés à l’enfant. La rente complémentaire pour enfant vise, en effet, à alléger le devoir d'entretien du débiteur devenu invalide et non à enrichir le bénéficiaire de l’entretien.</w:t>
      </w:r>
    </w:p>
    <w:p>
      <w:r>
        <w:rPr>
          <w:b/>
        </w:rPr>
        <w:t>E. 8</w:t>
      </w:r>
    </w:p>
    <w:p>
      <w:r>
        <w:t>Les considérants qui précèdent conduisent à l’irrecevabilité du recours. Limitée à la question du mode de paiement des rentes pour enfants, la procédure ne porte pas sur l’octroi ou le refus de prestations (ATF 129 V 362 consid. 2 et 7), de sorte qu’elle est gratuite (cf. art. 69 al. 1bis LAI a contrario). * * * * * *</w:t>
      </w:r>
    </w:p>
    <w:p>
      <w:r>
        <w:t>A/4128/2020 - 7/7 -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