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ATAS/385/2020 vom 19. Mai 2020</w:t>
      </w:r>
    </w:p>
    <w:p>
      <w:r>
        <w:t>GE Cour de justice, 2020-05-19, FR</w:t>
      </w:r>
    </w:p>
    <w:p>
      <w:r>
        <w:rPr>
          <w:b/>
        </w:rPr>
        <w:t xml:space="preserve">Quelle: </w:t>
      </w:r>
      <w:r>
        <w:t>https://mcp.opencaselaw.ch/entscheid/ge_gerichte_ATAS_385_2020</w:t>
      </w:r>
    </w:p>
    <w:p>
      <w:r>
        <w:t>FR: GE_GERICHTE ATAS/385/2020 du 19 mai 2020</w:t>
      </w:r>
    </w:p>
    <w:p>
      <w:r>
        <w:t>IT: GE_GERICHTE ATAS/385/2020 del 19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janvier inclusivement (art. 38 al. 4 let. c LPGA et art. 89C let. c LPA), ainsi que du report au lundi 3 février 2020 de l'échéance du délai de recours tombée sur le samedi 1er février 2020 (art. 38 al. 3 LPGA), le recours est recevable.</w:t>
      </w:r>
    </w:p>
    <w:p>
      <w:r>
        <w:rPr>
          <w:b/>
        </w:rPr>
        <w:t>E. 3</w:t>
      </w:r>
    </w:p>
    <w:p>
      <w:r>
        <w:t>Le litige porte sur le bien-fondé de la désignation du Dr G______ pour procéder à l'expertise du recourant.</w:t>
      </w:r>
    </w:p>
    <w:p>
      <w:r>
        <w:rPr>
          <w:b/>
        </w:rPr>
        <w:t>E. 4</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w:t>
      </w:r>
    </w:p>
    <w:p>
      <w:r>
        <w:t>- 7/11 -</w:t>
      </w:r>
    </w:p>
    <w:p>
      <w:r>
        <w:t>A/187/2020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 RS 0.101]; ATF 137 V 210 consid. 3.2.4.6 et 3.2.4.9). La personne assurée a le droit de se déterminer préalablement sur les questions à l'attention des experts dans le cadre de la décision de mise en œuvre de l'expertise (ATF 137 V 210 consid 3.4.2.9).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Le Tribunal fédéral a rappelé que depuis l'ATF 137 V 210, il existe en principe une obligation de la part de l’assureur de s'efforcer à mettre en œuvre une expertise consensuelle avant de rendre une décision (arrêt du Tribunal fédéral 9C_908/2012 du 22 février 2013 consid. 5.1). Selon la jurisprudence, un consensus est nécessaire après que des objections « admissibles » (« ein zulässiger Einwand » en allemand), c’est-à-dire « recevables », de nature matérielle ou formelle ont été soulevées par l'assuré (cf. ATAS/1175/2018 du 6 décembre 2018 consid. 7c et les références). Ces principes s'appliquent également dans le domaine de l'assurance-accidents (ATF 138 V 318 consid. 6.1).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w:t>
      </w:r>
    </w:p>
    <w:p>
      <w:r>
        <w:t>- 8/11 -</w:t>
      </w:r>
    </w:p>
    <w:p>
      <w:r>
        <w:t>A/187/2020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w:t>
      </w:r>
    </w:p>
    <w:p>
      <w:r>
        <w:rPr>
          <w:b/>
        </w:rPr>
        <w:t>E. 4.2</w:t>
      </w:r>
    </w:p>
    <w:p>
      <w:r>
        <w:t>et les références).</w:t>
      </w:r>
    </w:p>
    <w:p>
      <w:r>
        <w:t>- 9/11 -</w:t>
      </w:r>
    </w:p>
    <w:p>
      <w:r>
        <w:t>A/187/2020 Par conséquent, en l’absence d’un indice objectif faisant craindre la partialité dudit expert dans le cas d’espèce, le grief du recourant est infondé. b. Les reproches du recourant s’agissant des contacts préalables entre l’intimée et l’expert ne sont pas non plus fondés, l’intimée devant s’assurer que le médecin proposé soit bien disposé à accepter le mandat avant d’octroyer au recourant un délai pour faire valoir d’éventuelles causes de récusation (cf. dans ce sens : ATAS/138/2019 du 19 février 2019 consid. 8). En particulier, les explications fournies par l’intimée au Dr G______ le 29 octobre 2019 relatives à l’éventuel concours d’un neurologue et à la forme du bilan neurologique ne peuvent être considérées comme justifiant une quelconque méfiance à l'égard de l’expert. On voit en effet mal en quoi cette discussion influencerait l’appréciation de celui-ci en faveur de l’intimée. c. Cela étant, le recourant, en tant qu’il met en cause le caractère probant des expertises du Dr G______, met en doute les compétences professionnelles de ce médecin, et invoque donc un motif de récusation d’ordre matériel. Il s’agit d’un motif « admissible » de récusation, autrement dit « recevable » pour s’opposer à la désignation de cet expert, de sorte qu’un consensus doit être recherché (cf. ATAS/869/2016 du 25 octobre 2016 consid. 8c), étant rappelé qu’une expertise qui repose sur un accord mutuel donne des résultats plus concluants et mieux acceptés par l’assuré (ATF 137 V 210 consid. 3.4.2.6). Or, l’intimée n’a pas essayé de parvenir à un accord avec le recourant sur le choix de l’expert, lorsque ce dernier a soulevé des objections de manière motivée contre le Dr G______. En effet, après que l’intimée ait informé le recourant que le Dr F______, dont le nom avait été suggéré par celui-ci, a refusé de réaliser l’expertise, elle a rendu la décision incidente litigieuse, maintenant la désignation du Dr G______ – dont les compétences professionnelles sont contestées par le recourant −, sans avoir au préalable débattu avec ce dernier au sujet des contre-propositions qu’il avait formulées. S’il est vrai que l’intimée n’est pas tenue de suivre, sans autre, les propositions du recourant pour la désignation d'autres experts (ATF 139 V 349 consid. 5.2.1), elle aurait néanmoins dû et pu citer un ou plusieurs autres médecins susceptibles d’assumer le mandat d’expertise, et permettre au recourant de se prononcer à cet égard. Il apparaît ainsi que l'intimée n'a pas sérieusement tenté de trouver un consensus avec le recourant en persistant à vouloir mandater le Dr G______, contrairement à la volonté de celui-ci, alors qu'il y avait d'autres alternatives. Au vu de la jurisprudence en la matière, l'intimée n'a pas respecté les droits de participation du recourant dans la procédure de désignation de l'expert.</w:t>
      </w:r>
    </w:p>
    <w:p>
      <w:r>
        <w:rPr>
          <w:b/>
        </w:rPr>
        <w:t>E. 5</w:t>
      </w:r>
    </w:p>
    <w:p>
      <w:r>
        <w:t>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du Tribunal fédéral 9C_366/2013 du 2 décembre 2013 consid. 1.2 et la référence).</w:t>
      </w:r>
    </w:p>
    <w:p>
      <w:r>
        <w:rPr>
          <w:b/>
        </w:rPr>
        <w:t>E. 6</w:t>
      </w:r>
    </w:p>
    <w:p>
      <w:r>
        <w:t>a. En l'occurrence, le recourant est d’avis que le Dr G______ n’offre pas les garanties d’impartialité pour fonctionner en qualité d’expert, dans la mesure où il exerce essentiellement une activité d’expert pour les compagnies d’assurances (il a été médecin-conseil de l’intimée auparavant et collabore actuellement en tant que médecin-conseil d’autres assureurs). Or, de jurisprudence constante, le fait qu’un médecin soit mandaté régulièrement par les organes des assurances sociales pour établir des expertises ne constitue pas à lui seul un motif suffisant pour conclure au manque d’objectivité et à la partialité d’un expert (arrêt du Tribunal fédéral 8C_146/2016 du 9 août 2016 consid. 3.2 et</w:t>
      </w:r>
    </w:p>
    <w:p>
      <w:r>
        <w:rPr>
          <w:b/>
        </w:rPr>
        <w:t>E. 7</w:t>
      </w:r>
    </w:p>
    <w:p>
      <w:r>
        <w:t>La cause sera par conséquent renvoyée à l'intimée afin qu'elle propose au recourant un ou plusieurs autres médecins susceptibles d'assumer le mandat d'expertise et</w:t>
      </w:r>
    </w:p>
    <w:p>
      <w:r>
        <w:t>- 10/11 -</w:t>
      </w:r>
    </w:p>
    <w:p>
      <w:r>
        <w:t>A/187/2020 qu'elle trouve un accord avec lui, susceptible de favoriser l'adhésion de ce dernier aux conclusions de l'expertise et de faire avancer l'instruction du cas.</w:t>
      </w:r>
    </w:p>
    <w:p>
      <w:r>
        <w:rPr>
          <w:b/>
        </w:rPr>
        <w:t>E. 8</w:t>
      </w:r>
    </w:p>
    <w:p>
      <w:r>
        <w:t>Le recourant obtenant gain de cause, une indemnité lui sera accordée à titre de participation à ses frais et dépens (art. 61 let. g LPGA; art. 89H al. 3 LPA; art. 6 du règlement sur les frais, émoluments et indemnités en procédure administrative du 30 juillet 1986 [RFPA − RS E 5 10.03]), arrêtée en l’espèce à CHF 1'000.-. Pour le surplus, la procédure est gratuite (art. 89H al. 1 LPA).</w:t>
      </w:r>
    </w:p>
    <w:p>
      <w:r>
        <w:t>- 11/11 -</w:t>
      </w:r>
    </w:p>
    <w:p>
      <w:r>
        <w:t>A/187/2020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