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ATAS/385/2011 vom 19. April 2011</w:t>
      </w:r>
    </w:p>
    <w:p>
      <w:r>
        <w:t>GE Cour de justice, 2011-04-19, FR</w:t>
      </w:r>
    </w:p>
    <w:p>
      <w:r>
        <w:rPr>
          <w:b/>
        </w:rPr>
        <w:t xml:space="preserve">Quelle: </w:t>
      </w:r>
      <w:r>
        <w:t>https://mcp.opencaselaw.ch/entscheid/ge_gerichte_ATAS_385_2011</w:t>
      </w:r>
    </w:p>
    <w:p>
      <w:r>
        <w:t>FR: GE_GERICHTE ATAS/385/2011 du 19 avril 2011</w:t>
      </w:r>
    </w:p>
    <w:p>
      <w:r>
        <w:t>IT: GE_GERICHTE ATAS/385/2011 del 19 aprile 2011</w:t>
      </w:r>
    </w:p>
    <w:p>
      <w:pPr>
        <w:pStyle w:val="Heading2"/>
      </w:pPr>
      <w:r>
        <w:t>Erwägungen</w:t>
      </w:r>
    </w:p>
    <w:p>
      <w:r>
        <w:rPr>
          <w:b/>
        </w:rPr>
        <w:t>E. 1</w:t>
      </w:r>
    </w:p>
    <w:p>
      <w:r>
        <w:t>a)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une rente d'invalidité et/ou à des mesures d'ordre professionnel dès novembre 2008.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 un projet de décision en date du 15 janvier 2010 qui a été confirmé par la décision du 11 mars 2010 contre laquelle l'assuré a interjeté directement recours le 26 avril 2010 devant le Tribunal cantonal</w:t>
      </w:r>
    </w:p>
    <w:p>
      <w:r>
        <w:t>A/1515/2010 - 13/24 - des assurances sociales, soit la chambre des assurance sociales de la Cour depuis le 1er janvier 2011. c) Interjeté dans les forme et délai prévus par la loi, devant l'autorité compétente, le recours est en conséquence recevable (art. 56 ss LPGA).</w:t>
      </w:r>
    </w:p>
    <w:p>
      <w:r>
        <w:rPr>
          <w:b/>
        </w:rPr>
        <w:t>E. 3</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au moins donne droit à un quart de rente; 50% au moins à une demie rente; 60% au moins à un trois quarts de rente et 70% au moins à une rente entière.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w:t>
      </w:r>
    </w:p>
    <w:p>
      <w:r>
        <w:t>A/1515/2010 - 14/24 -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d)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e)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4</w:t>
      </w:r>
    </w:p>
    <w:p>
      <w:r>
        <w:t>a) En sus de l'article 14a LAI instituant des mesures de réinsertion préparant à la réadaptation, les articles 15 et suivants LAI prévoient plusieurs mesures d'ordre professionnel, soit l'orientation professionnelle (art.15 LAI), la formation professionnelle initiale (art.16 LAI), le reclassement (art.17 LAI), le placement (art. 18), l'allocation initiale au travail (art. 18a LAI) et l'aide en capital (art. 18b LAI).</w:t>
      </w:r>
    </w:p>
    <w:p>
      <w:r>
        <w:t>b) L'article 15 LAI prescrit que l'assuré auquel son invalidité rend difficile le choix d'une profession ou l'exercice de son activité antérieure a droit à l'orientation professionnelle. Selon la circulaire sur les mesures de réadaptation d'ordre professionnel (CMRP) de l'OFAS état au 1er janvier 2009, l'orientation professionnelle, qui inclut également des conseils en matière de carrière, a pour but</w:t>
      </w:r>
    </w:p>
    <w:p>
      <w:r>
        <w:t>A/1515/2010 - 15/24 - de cerner la personnalité des assurés et de déterminer leurs capacités et leurs dispositions qui constitueront la base permettant de choisir une activité professionnelle appropriée pour une activité dans un autre domaine, voir un placement adéquat. L'orientation peut consister en des stages pratiques, des examens plus étendus dans des centres spécialisés de formation professionnelle ou de réadaptation, sur le marché libre ou dans les centres de formation professionnelle (COMAI). L'examen sera effectué d'après un programme spécifiquement établi ou standardisé précisant clairement l'objectif. c) Selon l'article 17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Le droit au reclassement suppose que l’assuré soit invalide ou menacé d’une invalidité imminente (art. 8 al. 1er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En revanche, le seuil minimum fixé par la jurisprudence pour ouvrir droit à une mesure de reclassement est une diminution de la capacité de gain de l’ordre de 20% (ATF 124 V 108 consid. 2b et les références). Le droit à une mesure de réadaptation suppose qu'elle soit appropriée au but de la réadaptation poursuivi par l'assurance-invalidité, tant objectivement en ce qui concerne la mesure que sur le plan subjectif en ce qui concerne la personne de l'assuré, la mesure n'étant efficace que si la personne concernée est, partiellement</w:t>
      </w:r>
    </w:p>
    <w:p>
      <w:r>
        <w:t>A/1515/2010 - 16/24 - en tout cas, susceptible d'être réadaptée, subjectivement (VSI 2002 p. 111 consid. 2 et les références).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et les références). d) L'article 18 LAI prévoit que l'assuré qui présente une incapacité de travail (art. 6 LPGA) et qui est susceptible d'être réadapté a droit à un soutien actif dans la recherche d'un emploi, un conseil suivi afin de conserver un emploi. Dès lors que le service de placement n’est pas une mesure de réadaptation particulièrement onéreuse, il suffit qu’en raison de son invalidité l’assuré rencontre des difficultés dans la recherche d’un emploi, mêmes minimes, pour y avoir droit (ATF 116 V 80 consid. 6a). Le Tribunal fédéral a rappelé, dans un arrêt du 13 octobre 2009 que la jurisprudence précitée n'a jamais fait mention de la condition d'une perte de gain de 20% s'agissant des autres mesures d'ordre professionnel prévues par la loi. L'art. 18 al. 1 première phrase LAI, dans sa teneur selon la novelle du 21 mars 2003 ([4e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[5e révision de l'AI], en vigueur depuis le 1er janvier 2008), l'assuré présentant une incapacité de travail et susceptible d'être réadapté a droit: a. à un soutien actif dans la recherche d'un emploi approprié; b. à un conseil suivi afin de conserver un emploi.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p. 81). Lorsque la capacité de travail est limitée uniquement du fait que seules des activités légères peuvent être exigées de l'assuré, il faut qu'il soit entravé de manière</w:t>
      </w:r>
    </w:p>
    <w:p>
      <w:r>
        <w:t>A/1515/2010 - 17/24 - spécifique par l'atteinte à la santé dans la faculté de rechercher un emploi (arrêt [du Tribunal fédéral des assurances] I 421/01 du 15 juillet 2002, consid. 2c in VSI 2003 p. 274 s.), principe dont la jurisprudence a admis qu'il demeurait valable également après l'entrée en vigueur de la 4e révision de l'AI (arrêt I 427/05 du 24 mars 2006, in SVR 2006 IV Nr. 45 p. 162). e)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Selon cette disposition toujours, une mise en demeure écrite l’avertissant des conséquences juridiques et lui impartissant un délai de réflexion convenable doit lui avoir été adressée. Le but de cette sommation est de rendre l'assuré attentif aux conséquences possibles de son refus de se soumettre aux mesures de réadaptation, et de lui permettre de prendre une décision en toute connaissance de cause (ATF du 11 janvier 2005, I 605/04). Conformément à la jurisprudence, une mise en demeure est obligatoire quand bien même l'assuré a clairement manifesté qu'il n'entendait pas se soumettre à une mesure de réadaptation qu'on peut raisonnablement exiger de lui (ATF 122 V 218, consid. 4b). Enfin, selon la doctrine, la sanction prévue à l'art. 21 al. 4 LPGA présuppose en règle générale un comportement intentionnel de l'assuré (Ueli KIESER, ATSG- Kommentar: Kommentar zum Bundesgesetz über den Allgemeinen Teil des Sozialversicherungsrechts vom 6. Oktober 2000, Zurich 2003, n. 86 ad art. 21). Cette procédure est un préalable impératif à tout refus de prestations en application de l’art. 21 al. 4 LPGA (SVR 2005 IV n° 30 p. 113). Il doit, d’autre part, exister un lien de causalité entre le comportement reproché et le dommage susceptible d’être causé à l’assurance. Pour statuer sur cette question, il faut apprécier le comportement de l’assuré au regard des faits postérieurs à l’avertissement, faute de quoi l’exigence légale de l’avertissement serait vidée de son sens (ATFA non publié du 13 octobre 2005, I 457/05 consid. 4.1).</w:t>
      </w:r>
    </w:p>
    <w:p>
      <w:r>
        <w:rPr>
          <w:b/>
        </w:rPr>
        <w:t>E. 5</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A/1515/2010 - 18/24 -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Ce n'est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que la cause ne peut être tranchée en se fondant sur l'un ou l'autre de ces avis et qu'il y a alors lieu de mettre en œuvre une expertise par un médecin</w:t>
      </w:r>
    </w:p>
    <w:p>
      <w:r>
        <w:t>A/1515/2010 - 19/24 - indépendant selon la procédure de l'article 44 LPGA ou une expertise judiciaire (ATF 135 V 465). Les organes d’observation professionnelle ont pour fonction de compléter les données médicales en examinant concrètement dans quelle mesure l’assuré est à même de mettre en valeur une capacité de travail ou de gain sur le marché du travail. Dans les cas où ces appréciations (d’observation professionnelle et médicale) divergent sensiblement, il incombe à l’administration ou au juge de confronter les deux évaluations et, au besoin, de requérir un complément d’instruction (arrêt I 35/03 du 24 octobre 2003 consid. 4.3 et les références, in Plädoyer 2004/3 page 64).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6</w:t>
      </w:r>
    </w:p>
    <w:p>
      <w:r>
        <w:t>Dans le cas d'espèce, l'assuré fait valoir en premier lieu que l'OAI s'est exclusivement fondé sur l'appréciation médicale des médecins de la SUVA et du SMR, omettant de tenir compte de l'avis de son médecin traitant. Après instruction complémentaire, il fait valoir que l'avis du spécialiste récemment consulté confirme son incapacité totale de travail. En deuxième lieu, il affirme qu'il a droit à la poursuite de la mesure professionnelle mise en œuvre, en particulier à un reclassement professionnel par le biais d'une formation complète. En troisième lieu, l'OAI n'a pas indiqué précisément quel métier il pouvait exercer, de sorte que le taux d'invalidité ne peut pas être déterminé. a) S'agissant du premier grief, il était dénué de tout fondement, en tout cas au moment du dépôt du recours. Les rapports médicaux des médecins de la SUVA et ceux de la clinique romande de réadaptation remplissent tous les critères de la jurisprudence pour se voir reconnaître pleine valeur probante. Au moment de la décision et du recours, ils ne sont au demeurant pas sérieusement remis en doute par des objections pertinentes et motivées d'un autre médecin, en particulier le Dr B__________. Le diagnostic est celui d'un status post fracture de l'astragale, les seuls troubles qui pourraient être expliqués par les conséquences de l’accident sont</w:t>
      </w:r>
    </w:p>
    <w:p>
      <w:r>
        <w:t>A/1515/2010 - 20/24 - un enraidissement partiel de l'articulation, ainsi que des difficultés pour la marche sur un terrain inégal, raison pour laquelle les limitations fonctionnelles retenues sont : la nécessité d'épargner relativement le membre inférieur gauche, pas de marche prolongée [plus de 500 mètres], la possibilité de s’asseoir une fois par heure et pas de travail en position instable. Bien que l'assuré travaille uniquement sur des toits plats, la SUVA admet qu'il ne peut plus travailler comme étancheur, et ce uniquement afin de tenir compte de sa crainte de monter des échelles. Les douleurs intenses et l'impotence grave alléguées par l'assuré ne trouvent aucune explication médicale objective somatique, ni psychique. Un travail respectant les limitations fonctionnelles est donc exigible à 100%, sans diminution de rendement. Les médecins du SMR ont ainsi repris les avis des médecins de la SUVA et de la CRR. Le médecin traitant, qui n'est pas un spécialiste, ne remet en cause aucun des éléments susmentionnés, mais se borne à exclure toutes les positions de travail (y compris se pencher et la rotation du tronc) sauf celle assise, sans aucune explication liée au diagnostic posé, à retranscrire les plaintes de l'assuré (douleurs et limitations de la mobilité) et à délivrer sans autre investigation par un spécialiste des certificats d'arrêt de travail à 100%. Il ne motive pas ses affirmations et ne conteste pas la pleine capacité de travail de son patient dans une activité adaptée. En raison de l'absence de pertinence des constatations de ce médecin et du fait qu'elles ne permettent pas de douter des conclusions des médecins de la SUVA, il ne se justifiait pas d'auditionner le médecin traitant, ni d'ordonner d'autres mesures d'instruction d'ordre médical, les conclusions des médecins de la SUVA, reprises par l'OAI étant convaincantes et n'étant pas valablement remises en cause. Cela étant, le Dr G__________, spécialiste consulté par l'assuré en janvier 2011, soit trois ans après l'accident et près d'un an après la décision dont est recours, réserve la possibilité qu'une arthroscopie révèle des lésions cartilagineuses qui seraient invisibles sur les imageries médicales pratiquées et qui pourraient expliquer les douleurs. Il fait valoir que la limitation de la mobilité est objective et qu'un œdème est constaté. Il émet ainsi une hypothèse et, en réservant l'incapacité de travail comme étancheur au résultat de l'opération proposée, il laisse entendre que, soit les lésions évoquées sont révélées et éradiquées lors de l'arthroscopie, de sorte qu'après une période de convalescence non déterminée, l'assuré peut reprendre son travail d'étancheur, soit ces lésions n'existent pas et il se confirme alors que les douleurs ne s'expliquent pas médicalement. Ce médecin n'affirme toutefois pas que le patient est totalement incapable de travailler dans toute activité, ni que les douleurs ne peuvent pas être suffisamment limitées par une médication adéquate, permettant ainsi à l'assuré de travailler dans une profession respectant la seule limitation constatée : soit celle de la mobilité de la cheville gauche. D'ailleurs et contrairement aux affirmations du conseil de l'assuré, le Dr G__________ n'est pas revenu sur son affirmation initiale, à savoir que l'assuré devrait pouvoir, après l'arthroscopie, reprendre son activité antérieure.</w:t>
      </w:r>
    </w:p>
    <w:p>
      <w:r>
        <w:t>A/1515/2010 - 21/24 - Ainsi, la pleine capacité de travail dans une activité adaptée est incontestable, de sorte que la décision de l'OAI est bien fondée sur ce point. b) Le salaire d'invalide retenu par l'OAI ne prête pas flanc à la critique et n'est à juste titre pas remis en cause par l'assuré. L'abattement de 10% initialement retenu n'a pas été repris par le service de réadaptation en janvier 2010, qui a tenu compte d'un salaire de 59'979 fr. On peut en effet douter de la justification d'un quelconque abattement, car l'assuré est jeune et les limitations sont peu nombreuses. Au mieux, celui de 10% tient suffisamment compte des limitations de l'assuré et de la durée de son emploi auprès de même employeur et donne un salaire de 53'981 fr. Le revenu sans atteinte à la santé retenu par l'OAI est fondé sur l'attestation de l'employeur et n'est pas contesté, soit 77'090 fr. en 2008. La comparaison des revenus implique un taux d'invalidité de 29% (avec abattement de 10%) ou de 22% (sans abattement). Le taux d'invalidité peut se fonder, de jurisprudence constante, sur un calcul abstrait, sur la base des salaires statistiques, pour une activité dans l'industrie légère, en position assise, ou alternée, à 100% sans limitation de rendement. Ainsi, ce grief de l'assuré peut être écarté, le taux d'invalidité étant correctement calculé par l'OAI lors de la décision litigieuse, sans qu'il soit au préalable nécessaire de reclasser l'assuré. c) Ce taux ouvre le cas échéant le droit de l'assuré à des mesures professionnelles, singulièrement à une mesure de reclassement, mais pas à une rente d'invalidité. Le droit à des mesures professionnelles est toutefois conditionné à l'aptitude subjective de l'assuré à être réadapté. Or, il ressort très clairement du rapport des EPI que l'assuré n'a absolument pas collaboré à la mesure de réorientation professionnelle mise en place à juste titre par l'OAI. L'absence de motivation, la manifestation ostentatoire de l'ennui et l'autolimitation dans l'activité impliquant un très faible rendement sont exposés sans détour par les EPI. Si l'assuré s'était plaint de douleurs, le rapport en aurait fait mention, ainsi que des tentatives de modifier ou alterner la position de travail proposée, conformément à la pratique constante des EPI. L'assuré a travaillé en position assise avec la jambe relevée, de sorte que les douleurs et les œdèmes allégués par le certificat du médecin traitant paraissent très invraisemblables, eu égard aux rapports médicaux produits, ce d'autant plus que le médecin traitant admet que la position assise est exigible de l'assuré et que ce dernier peut sans difficultés partir en vacances un mois chaque été. On peut raisonnablement douter de la justification de l'arrêt de travail, ce d'autant plus qu'il est de 100%. De surcroît, l'exagération des symptômes par l'assuré et sa focalisation sur son état, avec une composante très revendicatrice, déjà mises en évidence lors du séjour à la CRR, sont corroborés par l'appréciation psychiatrique du Dr F__________. Ainsi, s'il est exact que, au vu des éléments médicaux du dossier lors de la décision, l'assuré pouvait prétendre à des mesures professionnelles d'orientation, afin de</w:t>
      </w:r>
    </w:p>
    <w:p>
      <w:r>
        <w:t>A/1515/2010 - 22/24 - déterminer d'une part quel métier il pouvait exercer en respect des limitations admises et, d'autre part, si une mesure de reclassement devait ensuite ou pas être mise en place (stage, formation complémentaire, etc.) afin de lui permettre de conserver sa capacité de gain dans la mesure du possible, il s'avère que l'assuré n'a pas saisi l'opportunité de ce stage pour déterminer ses capacités professionnelles, ses aptitudes spécifiques, ses goûts et ses attentes professionnelles, afin de mettre en place un projet professionnel, alors qu'il était âgé d'à peine 38 ans lors du stage. Dans le cas d'espèce, il ressort des faits que l'assuré ne s'est pas présenté le 18 août 2009, puis a présenté le 20 août un certificat d'incapacité totale daté du 19 août 2009. Il s'avère en effet que l'intimé n'a procédé à aucune sommation écrite invitant le recourant à modifier son comportement afin d'assurer le succès des mesures de réadaptation. Il ne ressort pas non plus des rapports des EPI que ces derniers auraient averti le recourant des possibles conséquences de son attitude. Cet avertissement, soit l'obligation légale découlant des art. 21 al. 4 LPGA et 7 LAI, ne s'applique toutefois pas au cas d'espèce. Il ne s'agit ni du cas de l'assuré qui refuse de se présenter au stage ou de celui de l'assuré qui, présent lors du stage, refuse d'effectuer les tâches prévues arguant qu'il n'a de toute façon pas l'intention d'exercer ce métier, mais d'un assuré qui cesse le stage au bénéfice d'un arrêt de travail complet. L'administration ne peut manifestement pas, dans ce cas-là, mettre en demeure l'assuré de revenir en l'avertissant qu'à défaut, des prestations pourraient lui être refusées. Ainsi, après avoir interrogé le médecin traitant afin de savoir plus précisément ce qui motivait cette incapacité totale d'effectuer un stage assis, et après avoir pris acte que l'incapacité perdurait, l'intimé a mis un terme le 18 septembre 2009 au stage prévu jusqu'au 8 novembre 2009. Ensuite et dans un second temps, l'intimé a refusé d'octroyer de nouvelles mesures professionnelles à l'assuré, compte tenu du fait que son attitude démontre que ces mesures sont vouées à l'échec. Dans ce cadre-là, lors d'octroi de mesures, il n'y a pas de place pour un quelconque avertissement au sens de l'art 21. al 4 LPGA. Ce grief de l'assuré est donc mal fondé, car l'OAI pouvait à juste titre refuser l'octroi d'une mesure professionnelle, faute d'aptitude subjective à la réadaptation. Pour terminer, il ne se justifie pas de suspendre la présente cause dans l'attente de l'issue du litige entre l'assuré et la SUVA, dès lors qu'il est établi que l'assuré peut travailler dans une profession adaptée. Si l'arthroscopie est finalement pratiquée, elle aura au moins le mérite soit d'objectiver les douleurs et de les éliminer, par l'ablation des cartilages, soit de constater - définitivement - l'absence d'explication objective aux douleurs. En tout les cas, cette opération et la brève convalescence nécessaire impliqueront uniquement une incapacité de travail dans toute activité pour une durée très limitée, qui ne relève pas de l'OAI.</w:t>
      </w:r>
    </w:p>
    <w:p>
      <w:r>
        <w:t>A/1515/2010 - 23/24 -</w:t>
      </w:r>
    </w:p>
    <w:p>
      <w:r>
        <w:rPr>
          <w:b/>
        </w:rPr>
        <w:t>E. 7</w:t>
      </w:r>
    </w:p>
    <w:p>
      <w:r>
        <w:t>Ainsi, mal fondé, le recours est rejeté et le recourant, qui succombe, est condamné à un émolument de 200 fr. (art. 69 al. 1 bis LAI). * * *</w:t>
      </w:r>
    </w:p>
    <w:p>
      <w:r>
        <w:t>A/1515/2010 - 24/24 -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