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ATAS/384/2024 vom 29. Mai 2024</w:t>
      </w:r>
    </w:p>
    <w:p>
      <w:r>
        <w:t>GE Cour de justice, 2024-05-29, FR</w:t>
      </w:r>
    </w:p>
    <w:p>
      <w:r>
        <w:rPr>
          <w:b/>
        </w:rPr>
        <w:t xml:space="preserve">Quelle: </w:t>
      </w:r>
      <w:r>
        <w:t>https://mcp.opencaselaw.ch/entscheid/ge_gerichte_ATAS_384_2024</w:t>
      </w:r>
    </w:p>
    <w:p>
      <w:r>
        <w:t>FR: GE_GERICHTE ATAS/384/2024 du 29 mai 2024</w:t>
      </w:r>
    </w:p>
    <w:p>
      <w:r>
        <w:t>IT: GE_GERICHTE ATAS/384/2024 del 29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A/3176/2022 - 15/39 - Selon l'art. 58 LPGA, le tribunal des assurances compétent est celui du canton de domicile de l’assuré ou d’une autre partie au moment du dépôt du recours (al. 1). Compte tenu du domicile genevois de la recourante, la Cour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rPr>
          <w:b/>
        </w:rPr>
        <w:t>E. 2.2</w:t>
      </w:r>
    </w:p>
    <w:p>
      <w:r>
        <w:t>et les références ; arrêt du Tribunal fédéral 8C_562/2020 du 14 avril 2020 consid. 3.2).</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6</w:t>
      </w:r>
    </w:p>
    <w:p>
      <w:r>
        <w:t>Le litige porte sur le point de savoir si l’intimée était fondée à ne pas réviser sa décision du 29 décembre 2016, entrée en force, mettant fin à la prise en charge du traitement médical et aux indemnités journalières avec effet au 31 octobre 2016, octroyant une rente de 10%, rachetée à hauteur de CHF 2'586.-, et fixant à 20% du gain maximal assuré l’indemnité pour atteinte à l’intégrité. Par ailleurs, le montant de l’indemnité pour atteinte intégrité ayant été versé sur le compte d’un tiers, il s’agit de déterminer si l’intimée est tenue de verser le montant y relatif à la recourante.</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w:t>
      </w:r>
    </w:p>
    <w:p>
      <w:r>
        <w:t>A/3176/2022 - 16/39 -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8.1</w:t>
      </w:r>
    </w:p>
    <w:p>
      <w:r>
        <w:t>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cf.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w:t>
      </w:r>
    </w:p>
    <w:p>
      <w:r>
        <w:t>A/3176/2022 - 17/39 - d’un élément nouveau. En revanche, la reconsidération a pour objet la correction d’une décision qui était déjà erronée, dans la constatation des faits ou dans l’application du droit, au moment où elle a été prise (ATAS/1244/2020 du</w:t>
      </w:r>
    </w:p>
    <w:p>
      <w:r>
        <w:rPr>
          <w:b/>
        </w:rPr>
        <w:t>E. 8.2</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prévus à l’art. 67 PA s’appliquent, en vertu de l’art. 55 al. 1 LPGA, à la révision procédurale d’une décision administrative selon l’art. 53 al. 1 LPGA (ATF U 561/06 du 28 mai 2007 consid. 4).</w:t>
      </w:r>
    </w:p>
    <w:p>
      <w:r>
        <w:rPr>
          <w:b/>
        </w:rPr>
        <w:t>E. 8.3</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LTF. La révision suppose ainsi la réalisation de cinq conditions: 1° le requérant invoque un ou des faits; 2° ce ou ces faits sont « pertinents », dans le sens d’importants (« erhebliche »), c’est-à-dire qu’ils sont de nature à modifier l’état de fait qui est à la base de la décision et à conduire à une décision différente en fonction d’une appréciation juridique correcte; 3° ces faits existaient déjà lorsque la décision a été rendue: il s’agit de pseudo-nova (unechte Noven), c’est-à-dire de faits antérieurs à la décision ou, plus précisément, de faits qui se sont produits jusqu’au moment où, dans la procédure principale, des allégations de faits étaient encore recevables ; 4° ces faits ont été découverts après coup (nachträglich), soit postérieurement à la décision, ou, plus précisément, après l’ultime moment auquel ils pouvaient encore être utilement invoqués dans la procédure principale ; 5° le requérant n’a pas pu, malgré toute sa diligence, invoquer ces faits dans la procédure précédente (ATF 143 III 272 consid.</w:t>
      </w:r>
    </w:p>
    <w:p>
      <w:r>
        <w:rPr>
          <w:b/>
        </w:rPr>
        <w:t>E. 8.4</w:t>
      </w:r>
    </w:p>
    <w:p>
      <w:r>
        <w:t>En l'espèce, la recourante considère que les conditions d’une révision de la décision du 29 décembre 2016 sont réalisées puisque l'intimée a fixé son droit aux prestations sur la base de rapports d’expertises rendus par la clinique E______. Elle fonde sa requête en révision sur la jurisprudence rendue par le Tribunal fédéral dans le cadre de l’autorisation d’exploiter selon laquelle les expertises réalisées par cette clinique n'ont pas valeur probante. Elle réclame dès lors la modification de ses droits s’agissant des prestations de courte durée et de la rente. Par ailleurs, le montant relatif à l’indemnité pour atteinte à l’intégrité ayant été</w:t>
      </w:r>
    </w:p>
    <w:p>
      <w:r>
        <w:t>A/3176/2022 - 18/39 - versé sur le compte de sa sœur, elle sollicite que la somme y relative lui soit versée directement par l’intimée. Pour sa part, l’intimée considère que même si les conditions pour la révision devaient être réalisées, cela ne permettrait pas de remettre en cause les prestations accordées par décision du 29 décembre 2016. Ayant versé le montant relatif à l’indemnité pour l’atteinte à l’intégrité aux coordonnées bancaires transmises par la recourante, elle considère avoir respecté ses obligations et ne pas être tenue à verser une seconde fois ladite somme. 9.</w:t>
      </w:r>
    </w:p>
    <w:p>
      <w:r>
        <w:t>9.1 Dans son arrêt du 22 décembre 2017 (2C_32/2017), le Tribunal fédéral a retenu que les expertises pratiquées auprès du « département expertise » de la clinique E______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 département expertise »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 département expertise » n'était pas contraire au droit (consid. 6 et 7 de l'arrêt cité). Dans un arrêt plus récent du 16 août 2018 (9F_5/2018),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 département expertise » dans la procédure relative au retrait de l'autorisation de la clinique E______ soulevaient de sérieux doutes quant à la manière dont des dizaines d'expertises avaient été effectuées au sein de cet établissement (arrêt 2C_32/2017 consid. 7.1) et portaient atteinte à la confiance que les</w:t>
      </w:r>
    </w:p>
    <w:p>
      <w:r>
        <w:t>A/3176/2022 - 19/39 - personnes assurées et les organes de l'assurance-invalidité étaient en droit d'accorder à l'institution chargée de l'expertise (voir aussi arrêt 8C_657/2017 du</w:t>
      </w:r>
    </w:p>
    <w:p>
      <w:r>
        <w:rPr>
          <w:b/>
        </w:rPr>
        <w:t>E. 10</w:t>
      </w:r>
    </w:p>
    <w:p>
      <w:r>
        <w:t>décembre 2020 consid. 7b; ATAS/154/2019 du 25 février 2019 consid. 3b ; ATAS/1163/2014 du 12 novembre 2014 consid. 5c ; Ueli KIESER, ATSG- Kommentar, 4ème éd. 2020, n. 20 ad art. 17 LPGA).</w:t>
      </w:r>
    </w:p>
    <w:p>
      <w:r>
        <w:rPr>
          <w:b/>
        </w:rPr>
        <w:t>E. 10.1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10.2</w:t>
      </w:r>
    </w:p>
    <w:p>
      <w:r>
        <w:t>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w:t>
      </w:r>
    </w:p>
    <w:p>
      <w:r>
        <w:rPr>
          <w:b/>
        </w:rPr>
        <w:t>E. 10.3</w:t>
      </w:r>
    </w:p>
    <w:p>
      <w:r>
        <w:t>Aux termes de l'art. 51 LPGA, les prestations, créances et injonctions qui ne sont pas visées à l'art. 49 al. 1, peuvent être traitées selon une procédure simplifiée (al. 1). L'intéressé peut exiger qu'une décision soit rendue (al. 2).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 arrêt du Tribunal fédéral 8C_377/2009 du 18 février 2010 consid. 4.2).</w:t>
      </w:r>
    </w:p>
    <w:p>
      <w:r>
        <w:rPr>
          <w:b/>
        </w:rPr>
        <w:t>E. 10.4</w:t>
      </w:r>
    </w:p>
    <w:p>
      <w:r>
        <w:t>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 décision sur opposition mais à celle d'une décision (arrêt du Tribunal fédéral 8C_738/2007 du 26 mars 2008).</w:t>
      </w:r>
    </w:p>
    <w:p>
      <w:r>
        <w:t>A/3176/2022 - 21/39 -</w:t>
      </w:r>
    </w:p>
    <w:p>
      <w:r>
        <w:rPr>
          <w:b/>
        </w:rPr>
        <w:t>E. 10.5</w:t>
      </w:r>
    </w:p>
    <w:p>
      <w:r>
        <w:t>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 arrêt du Tribunal fédéral 8C_377/2009 consid. 4.1).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w:t>
      </w:r>
    </w:p>
    <w:p>
      <w:r>
        <w:rPr>
          <w:b/>
        </w:rPr>
        <w:t>E. 10.6</w:t>
      </w:r>
    </w:p>
    <w:p>
      <w:r>
        <w:t>En l’occurrence, la décision du 29 décembre 2016 dont il est demandé la révision établit la fin du droit aux prestations de courte durée en raison de la stabilisation de l’état de santé au 31 octobre 2016, ce qui a conduit à la fixation du droit à la rente et à l’indemnité pour atteinte à l’intégrité. Les taux d’incapacité de travail retenus pour fixer l’indemnité journalière du</w:t>
      </w:r>
    </w:p>
    <w:p>
      <w:r>
        <w:rPr>
          <w:b/>
        </w:rPr>
        <w:t>E. 14</w:t>
      </w:r>
    </w:p>
    <w:p>
      <w:r>
        <w:t>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9.2 En l'espèce, l'expertise rendue le 1er avril 2016 et complétée le 1er septembre 2016 par les médecins de la clinique E______, sur lesquels s'est fondée l'intimée, a été réalisée à une époque où le responsable médical du « département expertise » modifiait illicitement le contenu de rapports. En conséquence, cette expertise et son complément ne sauraient servir de fondement pour statuer sur le droit de l'assurée aux prestations LAA. Peu importe de savoir si ledit responsable est concrètement intervenu dans la rédaction du rapport d'expertise, voire en a modifié le contenu à l'insu de son auteur, parce qu'il n'est en tout état de cause pas possible d'accorder pleine confiance aux rapports précités établis sous l'enseigne de la clinique E______ (cf. arrêt 9F_5/2018 consid. 2.3.2). Les exigences liées à la qualité de l'exécution d'un mandat d'expertise médicale en droit des assurances sociales ne pouvaient être considérées comme suffisamment garanties au sein du « département expertise »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l'expertise du 1er avril 2016 et son complément ne sauraient servir de fondement à une décision de l'assureur, dès lors qu'il y a lieu de leur nier toute valeur probante. Il s'agit là sans aucun doute d'un fait nouveau au sens de l'art 53 al. 1 LPGA. Conformément aux principes précités, ce fait nouveau doit en outre être important, c'est-à-dire qu'il doit être de nature à modifier l'état de fait qui est à la base de la décision entreprise et à conduire à des conclusions différentes en fonction d'une appréciation juridique correcte. Tel est bien le cas en l'occurrence. À ce stade, il sied de préciser que, par arrêt du 15 janvier 2019 (ATAS/17/2019), la chambre de céans a d’ores et déjà considéré que l’expertise émanant de la clinique E______ n’avait pas pleine valeur probante au vu de la jurisprudence fédérale rappelée ci-dessus.</w:t>
      </w:r>
    </w:p>
    <w:p>
      <w:r>
        <w:t>A/3176/2022 - 20/39 - La chambre de céans constate enfin que l'assurée a déposé sa demande de révision en temps utile, soit dans les trois mois après avoir pris connaissance de la jurisprudence du Tribunal fédéral (art. 67 PA). Aussi, les conditions d'une révision procédurale sont-elles réalisées. Il reste toutefois à examiner si comme l’allègue l’intimée, même si les conditions de la révision sont réalisées, cela n’impliquerait pas une modification des droits de la recourante. 10.</w:t>
      </w:r>
    </w:p>
    <w:p>
      <w:r>
        <w:rPr>
          <w:b/>
        </w:rPr>
        <w:t>E. 18</w:t>
      </w:r>
    </w:p>
    <w:p>
      <w:r>
        <w:t>novembre 2012 au 31 octobre 2016 ont été communiqués par correspondances des 20 avril 2015 et 12 avril 2016, sans que la recourante, représentée, ne s’y oppose ou ne sollicite la notification d’une décision formelle avant sa demande de révision. À ce stade, il sied de relever que le rapport d’expertise de la clinique E______ concluant à une incapacité totale de travail du 18 novembre 2012 au 15 octobre 2014, la recourante disposait d’ores et déjà d’éléments pour contester le taux d’incapacité réduit à 50% appliqué dès fin décembre 2022 par l’intimée. Par ailleurs, la recourante avait également en sa possession le rapport des HUG du 10 juin 2016, lequel attestait d’une capacité de travail de 50%, élément qui contredisait également les conclusions de l’intimée. La recourante ne s’est toutefois pas opposée aux conclusions de l’intimée avant le dépôt de sa demande de révision d’avril 2018, soit trois ans, respectivement deux ans plus tard. Par conséquent, les taux d’incapacité fixés jusqu’au 31 octobre 2016 sont opposables à la recourante. Le recours doit donc être déclaré irrecevable s’agissant de ce point.</w:t>
      </w:r>
    </w:p>
    <w:p>
      <w:r>
        <w:t>A/3176/2022 - 22/39 - 11.</w:t>
      </w:r>
    </w:p>
    <w:p>
      <w:r>
        <w:t>11.1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(arrêt du Tribunal fédéral 8C_204/2019 du 12 mai 2020 consid. 6.1). Il faut que les troubles à la nuque ou à la colonne cervicale se manifestent dans la période de 72 heures suivant l'accident, mais il n'est en revanche pas nécessaire que les autres troubles caractéristiques du tableau clinique apparaissent dans ce laps de temps (arrêt du Tribunal fédéral 8C_450/2007 du 17 janvier 2008 consid. 6).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Selon la jurisprudence, la seule constatation de troubles neuropsychologiques ne suffit pas pour établir la présence d'une atteinte organique (arrêt du Tribunal fédéral 8C_427/2013 du 19 mars 2014 consid. 5.2).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ATF 125 V 195 consid. 2).</w:t>
      </w:r>
    </w:p>
    <w:p>
      <w:r>
        <w:t>A/3176/2022 - 23/39 - 11.2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on examine les critères de la causalité adéquate en excluant les aspects psychiques (ATF 115 V 133 consid. 6c/aa et 115 V 403 consid. 5c/aa), tandis qu'en présence d'un traumatisme de type « coup du lapin » à la colonne cervicale, d'un traumatisme analogue à la colonne ou d'un traumatisme cranio-cérébral, on peut renoncer à distinguer les éléments physiques des éléments psychiques (ATF 134 V 109 consid. 7 ss ; également ATF 117 V 359 consid. 6a). Ce nonobstant, il convient d'appliquer la jurisprudence en matière de troubles psychiques (ATF 115 V 133 et 115 V 403), en particulier en distinguant entre atteintes d'origine psychique et atteintes organiques, même en cas de traumatisme de type « coup du lapin », de traumatisme analogue ou de traumatisme cranio- cérébral, lorsque les troubles psychiques apparus après l'accident constituent clairement une atteinte à la santé distincte et indépendante du tableau clinique consécutif à un traumatisme de ce type (TFA U 96/00 du 12 octobre 2000 consid. 2b, in RAMA 2001 n° U 412 p. 79 ; ATF 134 V 109 consid. 9.5 ; TF 8C_383/2013 du 1er avril 2014 et les références citées). Le moment auquel peut intervenir l’examen de la causalité adéquate en cas de traumatisme de type « coup du lapin » correspond à celui auquel l’assureur est en droit de clore le cas au sens de l’art. 19 al. 1 LAA, c’est-à-dire dès qu'il n'y a plus lieu d'attendre de la continuation du traitement médical une sensible amélioration de l'état de santé et qu'aucune mesure de réadaptation de l'assurance-invalidité n'entre en considération (ATF 134 V 109 consid. 3.1). En revanche, en cas de troubles psychiques additionnels à une atteinte à la santé physique, l’examen de la causalité adéquate doit se faire au moment où l'on ne peut plus attendre de la continuation du traitement médical en rapport avec</w:t>
      </w:r>
    </w:p>
    <w:p>
      <w:r>
        <w:t>A/3176/2022 - 24/39 - l'atteinte physique une amélioration de l'état de santé de l'assuré, au sens de l'art.</w:t>
      </w:r>
    </w:p>
    <w:p>
      <w:r>
        <w:rPr>
          <w:b/>
        </w:rPr>
        <w:t>E. 18.1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la jurisprudence, il y a abus de droit manifeste, prohibé par l'art. 2 al. 2 du Code civil suisse du 10 décembre 1907 (CC - RS 210), lorsqu'une personne use de son droit sans ménagement ou de manière inutilement rigoureuse (ATF 135 III 162),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w:t>
      </w:r>
    </w:p>
    <w:p>
      <w:r>
        <w:rPr>
          <w:b/>
        </w:rPr>
        <w:t>E. 18.2</w:t>
      </w:r>
    </w:p>
    <w:p>
      <w:r>
        <w:t>L’intimée considère que le taux d’atteinte à l’intégrité fixé à 20% par la décision de décembre 2016 était erroné. De son point de vue, elle n’aurait dû octroyer aucun montant à ce titre à défaut d’atteinte neurologique. La recourante pour sa part ne conteste pas le taux fixé, mais demande à ce qu’il lui soit versé, le montant initial ayant été réglé sur le compte de sa sœur qui ne lui a jamais remis l’argent.</w:t>
      </w:r>
    </w:p>
    <w:p>
      <w:r>
        <w:t>A/3176/2022 - 35/39 - Comme démontré précédemment, les troubles neuropsychologiques étant en lien de causalité naturelle et adéquate, la recourante avait droit à une indemnité pour atteinte à l’intégrité. Il n’y a donc pas lieu de revenir sur le taux fixé, mais il y a lieu de déterminer si l’intimée est tenue de verser une seconde fois la somme y relative. Il ressort du dossier qu’effectivement la recourante a donné les coordonnées de sa sœur en lien avec le versement d’indemnités journalières en 2014, en précisant que la première tranche devait être versé sur le compte fiduciaire de l’étude de son conseil. Il en résulte dès lors que le versement sur le compte fiduciaire était exceptionnel. Dans son courrier de 2014, la recourante n’a pas limité aux seules indemnités journalières l’utilisation du compte de sa sœur. Par la suite, la recourante a continué à percevoir les prestations de la SWICA sur le compte de sa sœur sans qu’elle modifie les instructions de paiement ou qu’elle fasse part du moindre problème de perception. En mars 2016, la recourante a déposé une demande de prestations auprès de l’OAI, dont elle a transmis copie à l’intimée. Dans celle-ci, la recourante a de nouveau communiqué les coordonnées de sa sœur. Fin 2016, soit par courrier du 7 novembre 2016, l’intimée a fait part des résultats de son analyse et sollicité que la recourante lui transmette les coordonnées bancaires pour versement, cette demande ayant été réitérée dans le cadre de la décision du 29 décembre 2016. Par l’intermédiaire de son conseil, la recourante a sollicité une prolongation de délai le 27 décembre 2016, indiquant uniquement attendre des renseignements médicaux. Dans cet envoi, elle n’a pas mentionné de coordonnées bancaires ou fait d’allusions quant à de nouvelles instructions de paiement alors que des prestations étaient reconnues et devaient être versées. Or, elle indique dans son mémoire de recours qu’à cette époque elle rencontrait des difficultés relationnelles avec sa sœur, de sorte qu’elle ne voulait pas que cette dernière perçoive les prestations qui lui étaient dues. Il est donc étonnant qu’elle n’ait pas saisi l’occasion de ce courrier pour modifier les instructions de paiement ou du moins avertir l’intimée de la situation. La recourante, représentée, consciente que l’intimée devait lui verser des prestations et que cette dernière disposait des coordonnées bancaires de sa sœur transmises par ses soins n’a demandé le versement des montants dus sur le compte fiduciaire de son conseil que le 26 juin 2017, soit plusieurs mois après la décision. Le 4 juillet 2017, l’intimée lui a répondu avoir versé les sommes dues aux coordonnées bancaires de sa sœur le 22 février 2017.</w:t>
      </w:r>
    </w:p>
    <w:p>
      <w:r>
        <w:t>A/3176/2022 - 36/39 - La recourante n’a plus fait de mention de ce versement, encore moins de problème quant à la perception de la somme pendant les mois et années suivants. Il faudra attendre le 31 mai 2021, soit environ quatre ans, pour que la recourante, par l’intermédiaire de son conseil, fasse valoir que l’intimée n’avait pas été libérée de ses obligations en versant les sommes dues sur le compte de sa sœur car elle n’avait pas réussi à récupérer l’argent. Au vu de ce qui précède, il apparaît que la recourante ne pouvait pas partir du principe que l’intimée attendrait la transmission d’éventuelles instructions de paiement avant de verser les sommes dues alors que depuis 2014 elle versait sans la moindre remarque ou limitation les montants sur le compte de sa sœur et qu’elle ignorait l’existence d’un éventuel conflit. Par ailleurs, comme le relève l’intimée, des sommes conséquentes ont été versées sur le compte de la sœur de la recourante sans que celle-ci ne réagisse ou fasse part de limitations quant à l’utilisation desdites coordonnées bancaires. Dans sa demande de prestations de 2016, la recourante a de nouveau communiqué les coordonnées de sa sœur. À cela s’ajoute que la recourante n’a pas informé l’intimée d’une problématique de perception des montants dus, et ce pendant quatre ans, avant de lui réclamer soudainement un nouveau versement des prestations car elle n’était pas arrivée à percevoir les sommes dues et qu’elle avait renoncé à entreprendre des démarches contre sa sœur, privant ainsi du même coup l’intimée de tout moyen légal envers cette dernière par l’écoulement du temps. Ce comportement est incompréhensible. En effet, la recourante allègue avoir nécessité plusieurs mois avant de se décider à faire verser les montants dus sur le compte fiduciaire de son conseil, ce qui expliquait le courrier intervenu seulement en juin 2017. Si elle n’arrivait pas à récupérer l’argent, elle aurait dès lors dû en informer immédiatement l’intimée en 2017 déjà. Cette attitude est d’autant plus surprenante que dès 2018, la recourante était en contact avec l’intimée par l’intermédiaire de son conseil pour solliciter une révision procédurale sans que cette problématique ne soit abordée avant fin mai 2021. Enfin, il sied de relever que la recourante n’a pas fourni le moindre élément permettant de confirmer qu’elle n’a pas reçu la somme versée sur le compte de sa sœur ou ses éventuelles démarches. Au vu de ce qui précède, le comportement de la recourante, à la limite de l’abus de droit, ne saurait conduire à condamner l’intimée à verser des prestations dont elle s’est déjà acquittée. Le recours sera donc rejeté sur ce point.</w:t>
      </w:r>
    </w:p>
    <w:p>
      <w:r>
        <w:t>A/3176/2022 - 37/39 - 19. Au vu de ce qui précède, le recours est partiellement admis, les décisions des</w:t>
      </w:r>
    </w:p>
    <w:p>
      <w:r>
        <w:rPr>
          <w:b/>
        </w:rPr>
        <w:t>E. 19</w:t>
      </w:r>
    </w:p>
    <w:p>
      <w:r>
        <w:t>al. 1 LAA (ATF 134 V 109 consid. 6.1 ; TF 8C_683/2017 du 24 juillet 2018 consid. 5 et les références citées). 11.2.1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Le Tribunal fédéral a toutefois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(cf. arrêt du Tribunal fédéral 8C_565/2022 du 23 mai 2023 et les arrêts cités; sur la distinction médicale entre TCC léger et contusio cerebri, cf. arrêt du Tribunal fédéral 8C_44/2017 du 19 avril 2017 consid. 4.1). 11.2.2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w:t>
      </w:r>
    </w:p>
    <w:p>
      <w:r>
        <w:t>A/3176/2022 - 25/39 -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 11.2.3 Nonobstant ce qui précède, même en présence d’un traumatisme de type «coup du lapin » à la colonne cervicale, d’un traumatisme analogue ou d’un TCC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apparus après l’accident n’appartiennent pas au tableau typique d’un traumatisme de type « coup du lapin », d’un traumatisme analogue ou d’un TCC (y compris un état dépressif), mais constituent plutôt une atteinte à la santé indépendante (ATF 123 V 98 consid. 2 ; arrêt du Tribunal fédéral U 101/05 du 12 avril 2006 consid. 5.2.2),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w:t>
      </w:r>
    </w:p>
    <w:p>
      <w:r>
        <w:t>A/3176/2022 - 26/39 - - le degré et la durée de l’incapacité de travail due aux lésions physiques. 11.2.4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12.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w:t>
      </w:r>
    </w:p>
    <w:p>
      <w:r>
        <w:rPr>
          <w:b/>
        </w:rPr>
        <w:t>E. 23</w:t>
      </w:r>
    </w:p>
    <w:p>
      <w:r>
        <w:t>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w:t>
      </w:r>
    </w:p>
    <w:p>
      <w:r>
        <w:t>A/3176/2022 - 27/39 -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arrêt du Tribunal fédéral 8C_39/2020 du 19 juin 2020 consid. 3.2 et les références). 13.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14.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w:t>
      </w:r>
    </w:p>
    <w:p>
      <w:r>
        <w:t>A/3176/2022 - 28/39 - connaissance du dossier, et que l'expert aboutit à des résultats convaincants, le juge ne saurait les écarter aussi longtemps qu'aucun indice concret ne permet de douter de leur bien-fondé (ATF 135 V 465 consid. 4.4. et les références ; ATF 125 V 351 consid. 3b/bb).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 16.</w:t>
      </w:r>
    </w:p>
    <w:p>
      <w:r>
        <w:t>16.1 Dans le cas d’espèce, il n’est pas contesté ni contestable que l’événement du 18 novembre 2012 répond à la définition légale de l’accident contenue à l’art. 4 LPGA. Suite à cet événement, la recourante a souffert d’un traumatisme crânien cérébral de grade V sévère TCC avec un hématome épidural aigu frontal gauche, des contusions hémorragiques bi-frontales à prédominance à gauche, des contusions parenchymateuses en frontal droit, une fracture crânienne frontale gauche s’étendant aux sinus frontaux, au toit de l’orbite et aux lames papyracées, ainsi que des fractures para-sagittales de l’os sphénoïdal gauche. L’intimée fait désormais valoir qu’elle n’aurait pas dû prendre en charge les troubles neuropsychologiques présentés par la recourante. Cette problématique s’inscrit, en réalité, dans un contexte plus vaste. En effet, il faut rappeler que le droit au traitement médical (art. 10 LAA) comme le droit aux indemnités journalières (art. 16 LAA) cessent lorsqu’il n’y a plus lieu d'attendre de la continuation du traitement médical une sensible amélioration de l'état de santé (art. 19 al. 1 LAA). Autrement dit, ces deux catégories de prestations prennent fin au même moment, à savoir dès la stabilisation de l’état de santé de la personne assurée. 16.2 Pour rappel, les experts du CEMed ont développé dans leur rapport du 15 mars 2021 que, sur le plan neurologique, la capacité de travail était pleine au plus tard une année après l’accident. S’agissant du volet psychique, il n’y avait pas eu d’atteinte d’une gravité et d’une durée justifiant une incapacité de travail durable. Enfin, en ce qui concerne les atteintes neuropsychologiques, les experts ont noté une évolution positive entre avril 2016 et leur examen en octobre 2019, ils ont considéré sur cette base qu’une pleine capacité de travail avec réduction de rendement de 20% ne pouvait être prise en compte qu’à compter d’octobre 2019.</w:t>
      </w:r>
    </w:p>
    <w:p>
      <w:r>
        <w:t>A/3176/2022 - 29/39 - À ce stade, il sied de relever que la chambre de céans a déjà eu l’occasion de retenir que les conclusions des experts du CEMed remplissaient tous les critères pour se voir reconnaître pleine valeur probante dans son arrêt du 5 octobre 2021 (ATAS/1034/2021), ce que les parties admettent. Dans ce même arrêt, la chambre de céans a retenu que pour la période antérieure, l’incapacité de travail était totale du jour de l’accident à fin mai 2016, dès juin 2016, l’état de santé de la recourante lui permettait une reprise à 50% conformément aux conclusions des Drs K______, L______ et M______. Compte tenu de ce qui précède, l’incapacité de travail qui subsiste au-delà de fin 2013 relève d’atteintes neuropsychologiques. Au vu de la gravité du traumatisme crânien et des importantes lésions découlant de l’accident de novembre 2012, le lien de causalité naturelle doit être admis. Reste à examiner le lien de causalité adéquate. En l’espèce, comme déjà relevé à plusieurs reprises, la recourante a souffert d’un traumatisme crânien grave, ce qui n’est pas contesté. Conformément aux principes rappelés ci-dessus, l’examen de la causalité adéquate doit donc être réalisé sur la base des critères de la jurisprudence relative aux traumatismes crâniens, étant précisé que compte tenu des éléments au dossier il ne peut pas être considéré que la recourante présente des troubles distincts et indépendants du tableau consécutif audit traumatisme. Dans un tel cas, l’examen de la causalité adéquate doit intervenir non pas au moment de la stabilisation des seules atteintes physiques, mais dès la stabilisation de l’ensemble des atteintes entrant en ligne de compte. Il faut donc fixer la date de la stabilisation pour pouvoir se prononcer sur le lien de causalité adéquate. 16.3 Il ressort des éléments au dossier et notamment de l’expertise CEMed du</w:t>
      </w:r>
    </w:p>
    <w:p>
      <w:r>
        <w:rPr>
          <w:b/>
        </w:rPr>
        <w:t>E. 24</w:t>
      </w:r>
    </w:p>
    <w:p>
      <w:r>
        <w:t>octobre 2019 que la recourante dispose d’une capacité de travail de 100% avec diminution de rendement de 20% depuis octobre 2019, auparavant la capacité de travail avait été de 50% depuis juin 2016 et nulle pour la période antérieure, ce qui n’est pas contesté par les parties. Selon les éléments au dossier, il semble que le traitement médical de la recourante après 2016 n’ait pas été régulier. In casu, l’absence de régularité du traitement n’implique pas qu’il n’était pas nécessaire sur le plan médical afin d’améliorer l’état de santé, mais résulte de la précarité financière et administrative de la recourante. En effet, il ressort du rapport des HUG de 2016 qu’un suivi devait être organisé sur le plan psychique. La recourante a par ailleurs eu des consultations sur le plan psychique en 2018.</w:t>
      </w:r>
    </w:p>
    <w:p>
      <w:r>
        <w:t>A/3176/2022 - 30/39 - À cela s’ajoute qu’une amélioration a été constatée par les experts du CEMed entre 2016 et octobre 2019, amélioration qui a permis une nette augmentation de la capacité de travail. Au vu de ce qui précède, la chambre de céans considère que c’est en octobre 2019, date fixée par les experts pour fixer la capacité de travail de 100% avec diminution de rendement de 20%, que l’état de santé de la recourante doit être considéré comme stabilisé. Il y a donc lieu de se placer en octobre 2019 pour examiner le lien de causalité adéquate au vu des critères rappelés ci-dessus. Vu la violence du choc établi par l’examen du véhicule, la vitesse relativement importante et la haute cinétique de l’accident, il y a lieu de le qualifier de moyen à la limite de l’accident grave. Conformément aux principes jurisprudentiels précités, il sied de constater que vu les circonstances de l’accident dont il ressort des éléments au dossier que la recourante s’en rappelle, le caractère particulièrement impressionnant de l’accident doit être admis. Il y a également lieu de retenir la réalisation des critères de gravité des lésions et de l’importance de l’incapacité de travail. En effet, pour rappel, la recourante a subi un polytraumatisme facio-crânien avec contusion hémorragique frontale et fronto-basale gauche, un pneumocrâne, une fracture de l’os frontal gauche, des deux sinus frontaux, du toit de l’orbite, des deux lames papyracées, parasagittale et de l’os sphénoïdal ainsi qu’un hématome épidural frontal gauche qui a nécessité une craniotomie. Les atteintes physiques et psychiques ont conduit à une incapacité totale de travail jusqu’au 31 mai 2016, soit pendant plus de trois ans. S’en est suivie une amélioration de l’état de santé permettant une capacité de travail de 50% à compter de juin 2016, puis à 100% avec diminution de rendement de 20% dès octobre 2019. Compte tenu de ce qui précède, le lien de causalité adéquate entre les troubles neuropsychologiques et l’accident doit également être reconnu. Il en résulte que l’intimée ne pouvait pas mettre fin aux prestations de courte durée au 31 octobre 2016. Elle devra dès lors verser à la recourante des indemnités journalières à 50% du 1er novembre 2016 au 31 octobre 2019, date de la stabilisation de l’état de santé. Conformément aux principes en la matière, les frais de traitement en lien avec l’accident, y compris les soins sur le plan psychique, devront également être pris en charge par l’intimée jusqu’au 31 octobre 2019. 16.4 Si l'assuré est invalide (art. 8 LPGA) à 10% au moins par suite d’un accident, il a droit à une rente d'invalidité (art. 18 al. 1 LAA). Pour évaluer le taux</w:t>
      </w:r>
    </w:p>
    <w:p>
      <w:r>
        <w:t>A/3176/2022 - 31/39 -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16.5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w:t>
      </w:r>
    </w:p>
    <w:p>
      <w:r>
        <w:t>A/3176/2022 - 32/39 -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17.</w:t>
      </w:r>
    </w:p>
    <w:p>
      <w:r>
        <w:t>17.1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ATF 131 V 362 consid. 2.2). 17.2 S’agissant du revenu sans invalidité, lorsqu'il apparait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 arrêt du Tribunal fédéral 8C_677/2021 du 31 janvier 2022 consid. 4.2.2).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du 31 janvier 2011 consid. 3.4). 17.3 En l’espèce, conformément aux principes précités, l’assurance-accidents n’est pas liée par l’évaluation du degré d’invalidité réalisée dans le cadre de l’assurance-invalidité.</w:t>
      </w:r>
    </w:p>
    <w:p>
      <w:r>
        <w:t>A/3176/2022 - 33/39 - S’agissant du revenu sans invalidité, conformément aux déclarations de l’employeur de la recourante, le salaire s’élevait à CHF 40'800.- en 2012 (3'400 x 12 mois), indexé à 2019 il en résulterait un montant de CHF 42'787.-. Or, selon le revenu statistique tiré d’activités simples et répétitives pour une femme selon le TA1_tirage_skill_level, soit CHF 4'371.- par mois et CHF 52'452.- par an en 2018. Ce revenu est de CHF 55'173.- une fois indexé et adapté à la durée normale de travail de 41.7 heures en 2019. Force est de constater que ce revenu dépasse de plus de 5% le salaire avant invalidité établi selon les déclarations de l’employeur. La différence est de l’ordre de 22%. Étant donné que la recourante ne dispose d'aucune formation particulière, qu'elle est de nationalité étrangère, qu’elle a une expérience professionnelle limitée, il y a lieu de considérer, au degré de la vraisemblance prépondérante (ATF 134 V 322 consid. 4.3), que c'est pour des raisons étrangères à l'invalidité qu'elle réalisait un revenu inférieur à la moyenne et qu'elle ne s'en contentait pas délibérément. Conformément à la jurisprudence, il convient donc de paralléliser les revenus à comparer à concurrence de la part qui excède le taux minimal déterminant de 5% (ATF 135 V 297 consid. 6.1.3 ; arrêt du Tribunal fédéral 8C_557/2012 précité, consid. 4.2), ce qui conduit à un revenu avant invalidité de CHF 52'414.35 (CHF 55'173.- sous déduction de 5% de ce montant). Selon le Tribunal fédéral, des facteurs étrangers à l’invalidité déjà pris en considération lors de la mise en œuvre du parallélisme des revenus à comparer ne peuvent être pris en compte une seconde fois lors de la déduction pour circonstances personnelles et professionnelles (ATF non publié 8C_557/2012 du</w:t>
      </w:r>
    </w:p>
    <w:p>
      <w:r>
        <w:rPr>
          <w:b/>
        </w:rPr>
        <w:t>E. 25</w:t>
      </w:r>
    </w:p>
    <w:p>
      <w:r>
        <w:t>juin 2013, consid. 4.3 et les références citées). Au regard de ces principes, le handicap de la recourante ne saurait intervenir derechef dans le cadre d’une réduction du revenu statistique fondée sur les circonstances personnelles et professionnelles. Force est par ailleurs de constater que d’autres facteurs de nature à entraîner un salaire inférieur à la moyenne (absence de formation professionnelle, expérience professionnelle limitée, faible niveau scolaire, français rudimentaire) ont déjà été pris en compte dans la parallélisation du revenu sans invalidité. On s’en tiendra donc pour le revenu d’invalide au revenu statistique tiré d’activités simples et répétitives pour une femme selon le TA1_tirage_skill_level, soit CHF 4'371.- par mois et CHF 52'452.- par an en 2018. Ce revenu est de CHF 55'173.- une fois indexé et adapté à la durée normale de travail de 41.7 heures en 2019. Compte tenu de la diminution de rendement de 20%, le revenu d’invalide s’élève à CHF 44'138.40. Il en résulte une perte de gain de 15.79%, arrondi à 16%, le recours sera donc admis partiellement sur ce point.</w:t>
      </w:r>
    </w:p>
    <w:p>
      <w:r>
        <w:t>A/3176/2022 - 34/39 - 18.</w:t>
      </w:r>
    </w:p>
    <w:p>
      <w:r>
        <w:rPr>
          <w:b/>
        </w:rPr>
        <w:t>E. 29</w:t>
      </w:r>
    </w:p>
    <w:p>
      <w:r>
        <w:t>décembre 2016 et 30 août 2022 annulées et la cause renvoyée à l'intimée afin qu'elle procède conformément aux considérants. La recourante, représentée par un avocat,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3'000.-. Pour le surplus, la procédure est gratuite (art. 61 let. fbis LPGA a contrario).</w:t>
      </w:r>
    </w:p>
    <w:p>
      <w:r>
        <w:t>***</w:t>
      </w:r>
    </w:p>
    <w:p>
      <w:r>
        <w:t>A/3176/2022 - 38/39 -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