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ATAS/384/2021 vom 27. April 2021</w:t>
      </w:r>
    </w:p>
    <w:p>
      <w:r>
        <w:t>GE Cour de justice, 2021-04-27, FR</w:t>
      </w:r>
    </w:p>
    <w:p>
      <w:r>
        <w:rPr>
          <w:b/>
        </w:rPr>
        <w:t xml:space="preserve">Quelle: </w:t>
      </w:r>
      <w:r>
        <w:t>https://mcp.opencaselaw.ch/entscheid/ge_gerichte_ATAS_384_2021</w:t>
      </w:r>
    </w:p>
    <w:p>
      <w:r>
        <w:t>FR: GE_GERICHTE ATAS/384/2021 du 27 avril 2021</w:t>
      </w:r>
    </w:p>
    <w:p>
      <w:r>
        <w:t>IT: GE_GERICHTE ATAS/384/2021 del 27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recours, déposé dans les forme et délai prévus par la loi (art. 56ss LPGA), est recevable.</w:t>
      </w:r>
    </w:p>
    <w:p>
      <w:r>
        <w:rPr>
          <w:b/>
        </w:rPr>
        <w:t>E. 3</w:t>
      </w:r>
    </w:p>
    <w:p>
      <w:r>
        <w:t>Le litige porte sur le droit du recourant à des prestations de l’assurance-invalidité.</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où sont prises en compte les répercussions de l'atteinte à la santé sur la capacité de gain (arrêt du Tribunal fédéral des assurances I 15/06 du 21 décembre 2006 consid. 2.2).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(arrêt du Tribunal fédéral 9C_279/2008 du 16 décembre 2008 consid. 3.2 et les références).</w:t>
      </w:r>
    </w:p>
    <w:p>
      <w:r>
        <w:t>A/3626/2020 - 16/25 -</w:t>
      </w:r>
    </w:p>
    <w:p>
      <w:r>
        <w:rPr>
          <w:b/>
        </w:rPr>
        <w:t>E. 5</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14a LAI précise que l’assuré qui présente depuis six mois au moins une incapacité de travail (art. 6 LPGA) de 50 %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les mesures socioprofessionnelles (let. a) ;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 (ATF 130 V 488 consid. 4.2 ; ATF 124 V 108 consid. 3a).</w:t>
      </w:r>
    </w:p>
    <w:p>
      <w:r>
        <w:rPr>
          <w:b/>
        </w:rPr>
        <w:t>E. 6</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w:t>
      </w:r>
    </w:p>
    <w:p>
      <w:r>
        <w:t>A/3626/2020 - 17/25 - entière s’il est invalide à 70 % au moins, à trois-quarts de rente s’il est invalide à 60 % au moins, à une demi-rente s’il est invalide à 50 % au moins ou à un quart de rente s’il est invalide à 40 % au moins.</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A/3626/2020 - 18/25 -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Dans un arrêt relativement récent concernant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w:t>
      </w:r>
    </w:p>
    <w:p>
      <w:r>
        <w:t>A/3626/2020 - 19/25 - 2.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w:t>
      </w:r>
    </w:p>
    <w:p>
      <w:r>
        <w:t>A/3626/2020 - 20/25 -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9</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w:t>
      </w:r>
    </w:p>
    <w:p>
      <w:r>
        <w:t>A/3626/2020 - 21/25 -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10</w:t>
      </w:r>
    </w:p>
    <w:p>
      <w:r>
        <w:t>En l’espèce, l’intimé s’est fondé sur l’expertise réalisée par le Dr H______ et Mme I______, considérant qu’elle excluait une atteinte à la santé invalidante. Cette expertise appelle les commentaires suivants. Au plan formel, il est difficile de distinguer ce qui ressort de l’étude du dossier, de l’anamnèse, des plaintes du recourant et des constatations des experts, dès lors que ces derniers mélangent ces éléments à plusieurs reprises dans les différents chapitres de leur rapport. S’agissant des atteintes retenues, si les critères diagnostiques définis par la CIM-10 sont rappelés, les experts n’ont guère exposé les observations cliniques concrètes les amenant à retenir qu’ils étaient réalisés dans le cas d’espèce. Sur ce point, leur rapport est insuffisamment motivé, notamment s’agissant des aspects liés à la personnalité dépendante, dont les fondements concrets ne sont pas décrits. On notera de plus que les experts font référence à des troubles psychotiques qui auraient été retenus, alors que le dossier médical constitué par l’intimé ne contient pas de mention d’une atteinte de cet ordre. S'agissant en particulier du TSA, les experts écartent les conclusions de Mme G______ en arguant d’importantes contradictions dans le rapport de cette psychologue. Cependant, s’agissant du fait que le recourant apprécierait plusieurs activités, on voit mal en quoi cela exclut une attirance simultanée et intense pour des centres d’intérêt particuliers. Quant à la seconde palinodie alléguée par les experts, ayant trait à la faculté de faire semblant dans les jeux, pour autant qu’on la comprenne, elle révèle une mauvaise lecture du rapport de Mme G______. Cette dernière a en effet indiqué que le recourant avait des difficultés de cette nature dans son enfance, ce qui n’est pas incompatible avec le fait qu’il admette s’adonner à de tels jeux avec ses enfants à l’âge adulte. Les experts semblent conclure à l’absence de TSA au motif que le parcours professionnel du recourant serait incompatible avec un tel diagnostic. Il faut cependant relever que le syndrome d'Asperger n'entraîne en soi pas systématiquement d'incapacité de travail dans une activité adaptée, et la réussite académique et l'exercice d'une activité professionnelle ne suffisent ainsi pas à l'exclure formellement. Compte tenu de ce qui précède, on ne peut guère reconnaître de valeur probante à cette expertise s’agissant du diagnostic de TSA, en particulier d'un syndrome d'Asperger. Le point de savoir si le recourant présente une telle atteinte peut toutefois rester ouvert dans le cas d’espèce, pour les motifs suivants.</w:t>
      </w:r>
    </w:p>
    <w:p>
      <w:r>
        <w:t>A/3626/2020 - 22/25 - Même s’il fallait considérer cette atteinte comme avérée, force est de constater que la spécialiste des HUG n'en a pas inféré d'incapacité de travail. Elle l’a de plus qualifiée de discrète. En outre, le syndrome d’Asperger fait partie des troubles du développement selon la CIM-10, ce qui signifie qu’il apparaît avant l’âge adulte, et ce même s’il peut n’être diagnostiqué que plus tard. On précisera encore que la caractéristique la plus importante du syndrome d’Asperger est un trouble de la capacité à établir des relations, qui n’atteint toutefois pas le même degré de gravité que l’autisme infantile, de sorte que le développement social des enfants qui en souffrent ne devient généralement problématique que lorsqu’ils sont en âge d’être scolarisés (arrêt du Tribunal fédéral 9C_682/2012 du 1er mai 2013 consid. 3.1 et les références). Dans le cas d’espèce, les renseignements anamnestiques ne révèlent toutefois pas de difficultés de communication pathologiques durant l’enfance. De plus, les certificats de travail très élogieux établis par les employeurs du recourant soulignent notamment ses capacités de communication et son esprit d’équipe, à l’instar du rapport des EPI. En outre, au vu du cursus académique particulièrement pointu du recourant et des postes indéniablement exigeants qu’il a occupés, on ne saurait retenir que l’éventuel syndrome d’Asperger – par définition présent de longue date – entraîne en soi une incapacité de gain. Faute d’indices dans ce sens, on ne peut pas non plus admettre dans le cas d’espèce que ce trouble aurait eu une évolution défavorable au cours des années, de sorte qu’il affecterait désormais la capacité de gain du recourant alors qu’il ne l’avait pas entravée dans le passé. Ainsi, en toute hypothèse, le TSA ou syndrome d’Asperger n'a en lui-même pas de répercussion sur la capacité de gain du recourant. C’est ici le lieu de répéter que l'influence d'une atteinte à la santé sur la capacité de travail est davantage déterminante que sa qualification en matière d'assurance-invalidité (arrêt du Tribunal fédéral 9C_762/2019 du 16 juin 2020 consid. 5.2). Or, l'expertise n'a pas non plus retenu d'autre diagnostic ayant une incidence sur la capacité de gain du recourant. Les rapports des médecins et psychologues du recourant ne justifient pas que l'on s'écarte des conclusions du Dr H______ et de Mme I______ sur ce point, dès lors qu'ils n'établissent pas non plus l’existence d’une atteinte à la santé ouvrant le droit aux prestations. Mme E______ n’a en effet pas avancé de diagnostics et ne s’est pas prononcée sur la capacité de travail du recourant. Cette psychologue a du reste précisé que le suivi visait désormais à résoudre les difficultés du recourant en lien avec sa recherche d’emploi, ce qui tend à démontrer qu’elle ne retient pas d’incapacité de travail. Quant aux rapports établis par le Dr F______, ils ne contiennent pas tous les éléments nécessaires pour se voir reconnaître valeur probante selon la jurisprudence. En effet, ils ne comportent notamment pas de status et leurs conclusions ne sont guère motivées. Ils sont en outre pour le moins contradictoires, dès lors que ce médecin fait état d’une capacité de travail de 50 % du recourant en octobre 2019, alors qu’il conclut à une incapacité de travail totale en mars 2020, quand bien même qu'il souligne l’absence d’élément nouveau depuis</w:t>
      </w:r>
    </w:p>
    <w:p>
      <w:r>
        <w:t>A/3626/2020 - 23/25 - l’établissement de son précédent rapport, et il préconise à nouveau une activité à 50 % dans son rapport du 12 février 2021. Selon la jurisprudence, il convient d'examiner dans chaque cas si les expertises administratives ou judiciaires qui ne contiendraient pas d’analyse selon les nouveaux critères jurisprudentiels permettent ou non une appréciation concluante du cas à l'aune des indicateurs déterminants, le cas échéant en les mettant en relation avec d'autres rapports médicaux. Il revient aux organes chargés de l'application du droit de procéder à l'appréciation définitive de la capacité de travail de l'intéressé (arrêt du Tribunal fédéral 9C_808/2019 du 18 août 2020 consid. 5.2 et les références). En l’occurrence, on peut ajouter ce qui suit à l’analyse des différents indicateurs à laquelle ont procédé les experts. S’agissant de l’expression des éléments pertinents pour le diagnostic et des symptômes, le syndrome d’Asperger est qualifié de peu grave par Mme G______, le Dr F______ ayant lui-même admis qu’il était léger dans son rapport de février 2021. En ce qui concerne le succès du traitement, il apparaît que la psychothérapie n’est pas en premier lieu axée sur des troubles psychiques, mais qu’elle a été initiée pour résoudre le problème rencontré par le fils de l’intéressé et se focalise désormais sur le projet de réinsertion professionnelle du recourant. On ne peut ainsi pas parler d’échec du traitement. En ce qui concerne le succès de la réadaptation, il faut noter la motivation et les efforts du recourant pour retrouver un emploi, ce qui tend à démontrer l’existence de ressources résiduelles significatives sur ce plan. On ne peut pas non plus retenir de comorbidités importantes. Les périodes dépressives évoquées par le Dr F______ dans son second rapport n’y suffisent pas, ce médecin ne mentionnant pas de symptômes de cet ordre hormis une perte d’énergie par périodes. De plus, les manifestations de stress et d’anxiété sont décrites comme réactionnelles à la situation professionnelle et financière du recourant, de sorte qu’on ne saurait conclure à une comorbidité dépressive. Mme G______ n’a pas constaté d’hyperactivité, malgré les plaintes du recourant dans ce registre, de sorte que les difficultés de cet ordre paraissent subjectives. S’agissant de la personnalité, le syndrome d’Asperger, fût-il établi de manière probante, ne permet pas non plus d’exclure des ressources importantes, comme en témoignent les démarches du recourant pour retrouver un emploi. Quant au contexte social du recourant, il paraît relativement intact. Selon les renseignements recueillis par les experts et par Mme G______, il bénéficie du soutien de son épouse et a une vie familiale normale, et il a conservé un cercle social, puisqu’il entretient des contacts avec ses amis. En ce qui concerne la cohérence, comme l’ont à plusieurs reprises souligné les experts, il n’apparaît pas que le recourant rencontre d’importantes limitations dans</w:t>
      </w:r>
    </w:p>
    <w:p>
      <w:r>
        <w:t>A/3626/2020 - 24/25 - sa vie quotidienne. On ne peut pas retenir de retrait social important imputable à des facteurs médicaux. Enfin, pour ce qui a trait au poids de la souffrance, analysé en fonction de la mise à profit d’options thérapeutiques, il faut répéter que le suivi du recourant vise à l’aider à retrouver un poste de travail, et non en premier lieu au traitement de son état de santé. En définitive, compte tenu de ce qui précède, il convient de se rallier aux conclusions des experts quant à l’absence d’atteinte influençant la capacité de gain du recourant. En toute hypothèse, à l’aune des indicateurs pertinents, celui-ci dispose de ressources mobilisables. Il apparaît du reste qu'il se considère également à même de reprendre une activité lucrative, malgré l’ambivalence de ses propos à ce sujet tels que rapportés par les experts. Force est ainsi de constater que l’absence d’activité lucrative du recourant ne découle pas de facteurs médicaux. Elle paraît bien plutôt relever de problèmes en lien avec le chômage non assuré et le marché du travail. Si l’on comprend bien que ces difficultés de réinsertion professionnelle soient sources de préoccupation pour le recourant et entraînent une certaine anxiété, cela ne suffit pas à considérer qu’il existe une incapacité de travail durable imputable à une atteinte à la santé et ouvrant le droit à des prestations de l’assurance-invalidité. Partant, la décision de l’intimé doit être confirmée.</w:t>
      </w:r>
    </w:p>
    <w:p>
      <w:r>
        <w:rPr>
          <w:b/>
        </w:rPr>
        <w:t>E. 11</w:t>
      </w:r>
    </w:p>
    <w:p>
      <w:r>
        <w:t>Le recours est rejeté. Le recourant, qui succombe, n’a pas droit à des dépens (art. 61 let. g LPGA) et il supporte l’émolument de procédure de CHF 200.- (art. 69 al. 1bis LAI). * * * * * *</w:t>
      </w:r>
    </w:p>
    <w:p>
      <w:r>
        <w:t>A/3626/2020 - 25/25 -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