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ATAS/384/2018 vom 30. April 2018</w:t>
      </w:r>
    </w:p>
    <w:p>
      <w:r>
        <w:t>GE Cour de justice, 2018-04-30, FR</w:t>
      </w:r>
    </w:p>
    <w:p>
      <w:r>
        <w:rPr>
          <w:b/>
        </w:rPr>
        <w:t xml:space="preserve">Quelle: </w:t>
      </w:r>
      <w:r>
        <w:t>https://mcp.opencaselaw.ch/entscheid/ge_gerichte_ATAS_384_2018</w:t>
      </w:r>
    </w:p>
    <w:p>
      <w:r>
        <w:t>FR: GE_GERICHTE ATAS/384/2018 du 30 avril 2018</w:t>
      </w:r>
    </w:p>
    <w:p>
      <w:r>
        <w:t>IT: GE_GERICHTE ATAS/384/2018 del 30 aprile 2018</w:t>
      </w:r>
    </w:p>
    <w:p>
      <w:pPr>
        <w:pStyle w:val="Heading2"/>
      </w:pPr>
      <w:r>
        <w:t>Erwägungen</w:t>
      </w:r>
    </w:p>
    <w:p>
      <w:r>
        <w:rPr>
          <w:b/>
        </w:rPr>
        <w:t>E. 1</w:t>
      </w:r>
    </w:p>
    <w:p>
      <w:r>
        <w:t>Conformément à l'art. 134 al. 1 let. a ch. 2 de la loi sur l'organisation judiciaire, du 26 septembre 2010 (LOJ - E 2 05), en vigueur depuis le 1er janvier 2011, la chambre de céans connaît, en instance unique, des contestations prévues à l'art. 56 de la loi fédérale sur la partie générale du droit des assurances sociales, du</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7</w:t>
      </w:r>
    </w:p>
    <w:p>
      <w:r>
        <w:t>a. Les conditions d’assurance sont définies à l'art. 6 LAI. S’agissant plus précisément des ressortissants étrangers, l’art. 6 al. 2 LAI prévoit qu’ils ont droit aux prestations, sous réserve de l’art. 9, al. 3 (ressortissants étrangers de moins de</w:t>
      </w:r>
    </w:p>
    <w:p>
      <w:r>
        <w:t>A/4016/2016 - 14/21 - 20 ans), aussi longtemps qu’ils conservent leur domicile et leur résidence habituelle (art. 13 LPGA) en Suisse, mais seulement s’ils comptent, lors de la survenance de l’invalidité, au moins une année entière de cotisations ou dix ans de résidence ininterrompue en Suisse, étant précisé que le droit à la rente ordinaire nécessite l’accomplissement de trois années de cotisations lors de la survenance de l’invalidité (art. 36 al. 1 LAI). Le texte des art. 6 et 9 aLAI, dans leur teneur jusqu’au 31 décembre 2003, 2008 et 2011, était identique à celui des dispositions susmentionnées. b. Selon l’art. 8 LAI, les assurés invalides ou menacés d'une invalidité (art. 8 LPGA) ont droit à des mesures de réadaptation pour autant : a. que ces mesures soient nécessaires et de nature à rétablir, maintenir ou améliorer leur capacité de gain ou leur capacité d'accomplir leurs travaux habituels; b. que les conditions d'octroi des différentes mesures soient remplies (al. 1).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assurés ont droit aux prestations prévues à l'art. 16, al. 2, let. c, que les mesures de réadaptation soient nécessaires ou non pour maintenir ou améliorer leur capacité de gain ou leur capacité d'accomplir leurs travaux habituels (al. 2bis). Les mesures de réadaptation comprennent: a. des mesures médicales; abis des mesures de réinsertion préparant à la réadaptation professionnelle; b. des mesures d'ordre professionnel (orientation professionnelle, formation professionnelle initiale, reclassement, placement, aide en capital); d. l'octroi de moyens auxiliaires.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c. Les conditions d’assurance donnant droit aux prestations doivent être remplies lors de la survenance de l’invalidité, c’est-à-dire au moment où l’atteinte à la santé devient, par sa nature et sa gravité, propre à ouvrir droit aux prestations entrant en considération (art. 4 al. 2 LAI) (RCC 1974 p. 270).</w:t>
      </w:r>
    </w:p>
    <w:p>
      <w:r>
        <w:t>A/4016/2016 - 15/21 - L’office AI détermine avec un soin particulier le moment de la survenance du cas d’assurance. Il accorde à cette enquête une grande importance, la survenance du cas d’assurance étant déterminante pour la réalisation des conditions d’assurance, le début des prestations en général, la détermination du droit à une rente et le calcul de celle-ci (Circulaire sur l’invalidité et l’impotence dans l’assurance-invalidité, no 1037). L'invalidité est réputée survenue dès qu'elle est par sa nature et sa gravité propre à ouvrir droit aux prestations entrant en considération (art. 4 al. 2 LAI). Le texte de l’art. 4 al. 2 aLAI, dans sa teneur jusqu’au 31 décembre 2003, 2008 et 2011, était identique à celui qui précède.</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w:t>
      </w:r>
    </w:p>
    <w:p>
      <w:r>
        <w:t>A/4016/2016 - 16/21 -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w:t>
      </w:r>
    </w:p>
    <w:p>
      <w:r>
        <w:t>A/4016/2016 - 17/21 -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w:t>
      </w:r>
    </w:p>
    <w:p>
      <w:r>
        <w:t>A/4016/2016 - 18/21 -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l’occurrence, dans son ordonnance du 4 janvier 2018, la chambre de céans a considéré ce qui suit :</w:t>
      </w:r>
    </w:p>
    <w:p>
      <w:r>
        <w:t>A/4016/2016 - 19/21 - L’intimé a reconnu à la recourante, dans la décision litigieuse et suite à l’arrêt de la chambre de céans du 13 avril 2016 (ATAS/288/2016), un statut mixte 50 % pour la part activité professionnelle et 50 % pour la part travaux habituels, une incapacité de travail totale dans toute activité depuis l’adolescence ainsi qu’un degré d’invalidité de 59 %. Tant le statut de la recourante que le degré d’invalidité de celle-ci ne peuvent plus faire l’objet d’une contestation, l’arrêt de la chambre de céans précité ayant définitivement tranché ces aspects ; il est ainsi admis que la recourante présente une incapacité de travail totale dans toute activité et un empêchement de 18 % dans la sphère ménagère. En revanche, reste ouverte la question de la survenance de l’incapacité de travail totale de la recourante, déterminante au regard des conditions d’assurance. En effet, si la recourante est arrivée en Suisse déjà invalide, elle n’aura droit à aucune prestation, alors que si son invalidité est survenue postérieurement à son arrivée en Suisse, et qu’elle a, à cette date, été assurée pendant au moins une année entière, elle aura droit à une demi-rente d’invalidité, fondée sur un degré d’invalidité de 59 %. A cet égard, l’intimé, se fondant sur l’expertise du Dr F______ du 31 juillet 2014, estime que la recourante présente une incapacité de travail complète, probablement depuis l’adolescence, en raison d’un épisode dépressif majeur récurrent de gravité moyenne et d’une personnalité traumato-névrotique (état limite inférieur), décompensée. En revanche, la recourante, se fondant sur l’avis de la Dre D______ du 20 septembre 2017, estime qu’elle a présenté une incapacité de travail postérieurement à son mariage du 16 mai 1986, à la suite de la décompensation de son trouble de personnalité initial. La chambre de céans constate que l’avis de la Dre D______, étayé et motivé, jette un doute sur les conclusions du Dr F______ quant à l’existence, depuis l’adolescence, d’une incapacité de travail totale de la recourante, puisqu’elle explique que celle-ci a subi une décompensation du trouble de la personnalité initial, marquée par des épisodes dépressifs majeurs d’intensité moyenne à sévère, à répétition postérieurement à son mariage ; la maltraitance sexuelle du premier mari avait réactivé le traumatisme sexuel initial (viol à l’adolescence), entrainé une grave instabilité psychique avec un vécu de honte, de culpabilité, d’isolement social, et renforcé la mauvaise estime de soi et le sentiment d’incompétence. La chambre de céans a indiqué qu’au vu de ces deux avis psychiatriques divergents, il convenait d’ordonner une expertise psychiatrique, laquelle aurait une mission limitée à la question de la détermination de la survenance de l’incapacité de travail totale de la recourante, constatée tant par l’expert F______ que la Dre D______ et reconnue par l’intimé et la chambre de céans.</w:t>
      </w:r>
    </w:p>
    <w:p>
      <w:r>
        <w:t>A/4016/2016 - 20/21 -</w:t>
      </w:r>
    </w:p>
    <w:p>
      <w:r>
        <w:rPr>
          <w:b/>
        </w:rPr>
        <w:t>E. 12</w:t>
      </w:r>
    </w:p>
    <w:p>
      <w:r>
        <w:t>Fondée sur toutes les pièces du dossier, deux entretiens avec la recourante de deux heures et quinze minutes au total, un entretien téléphonique avec les Drs D______ et I______, comprenant une anamnèse complète, les plaintes de la recourante, un status psychiatrique, des diagnostics et limitations fonctionnelles clairs et une discussion du cas bien motivée, l’expertise judiciaire du Dr H______ remplit tous les réquisits jurisprudentiels précités pour qu’il lui soit conféré une pleine valeur probante. Les parties l’admettent également. En conséquence, il convient de suivre la conclusion de l’expertise judiciaire, soit que la recourante n’a jamais été capable de travailler durablement et cela au degré de la vraisemblance prépondérante. Partant, la décision litigieuse, laquelle constate que la recourante était déjà invalide lors de son arrivée en Suisse et qu’elle ne remplit pas les conditions légales précitées pour avoir droit à une rente d’invalidité, ne peut qu’être confirmée et le recours rejeté.</w:t>
      </w:r>
    </w:p>
    <w:p>
      <w:r>
        <w:rPr>
          <w:b/>
        </w:rPr>
        <w:t>E. 13</w:t>
      </w:r>
    </w:p>
    <w:p>
      <w:r>
        <w:t>Etant donné que, depuis le 1er juillet 2006, la procédure n'est plus gratuite (art. 69 al. 1bis LAI), au vu du sort du recours, il y a lieu de condamner la recourante au paiement d'un émolument de CHF 200.-.</w:t>
      </w:r>
    </w:p>
    <w:p>
      <w:r>
        <w:t>A/4016/2016 - 21/21 -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