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ATAS/384/2013 vom 29. April 2013</w:t>
      </w:r>
    </w:p>
    <w:p>
      <w:r>
        <w:t>GE Cour de justice, 2013-04-29, FR</w:t>
      </w:r>
    </w:p>
    <w:p>
      <w:r>
        <w:rPr>
          <w:b/>
        </w:rPr>
        <w:t xml:space="preserve">Quelle: </w:t>
      </w:r>
      <w:r>
        <w:t>https://mcp.opencaselaw.ch/entscheid/ge_gerichte_ATAS_384_2013</w:t>
      </w:r>
    </w:p>
    <w:p>
      <w:r>
        <w:t>FR: GE_GERICHTE ATAS/384/2013 du 29 avril 2013</w:t>
      </w:r>
    </w:p>
    <w:p>
      <w:r>
        <w:t>IT: GE_GERICHTE ATAS/384/2013 del 29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Les modifications de la loi fédérale sur l'assurance-invalidité du 21 mars 2003 (4ème révision), du 6 octobre 2006 (5ème révision) et du 18 mars 2011 8révision 6a), sont entrées en vigueur respectivement le 1er janvier 2004, le 1er janvier 2008 et le 1er janvier 2012. Sur le plan matériel, sont en principe applicables les règles de droit en vigueur au moment où les faits juridiquement déterminants se sont produits (ATF 129 V 1 consid. 1, ATF 127 V 467 consid. 1 et les références). b) En l'espèce, l'objet du litige porte sur une demande de prestations du 23 novembre 2011 de sorte que le droit éventuel aux prestations doit être examiné en fonction des modifications de la LAI précitées entrées en vigueur le 1er janvier 2004 et le 1er janvier 2008, étant relevé que les novelles n'ont pas amené de modifications substantielles en matière d'évaluation de l'invalidité (ATF du 11 juillet 2006 I 249/05).</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A/3178/2012 - 9/20 -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 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w:t>
      </w:r>
    </w:p>
    <w:p>
      <w:r>
        <w:t>A/3178/2012 - 10/20 -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A/3178/2012 - 11/20 -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A/3178/2012 - 12/20 -</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8</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w:t>
      </w:r>
    </w:p>
    <w:p>
      <w:r>
        <w:t>A/3178/2012 - 13/20 -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w:t>
      </w:r>
    </w:p>
    <w:p>
      <w:r>
        <w:t>A/3178/2012 - 14/20 -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consid. 4.2.2; 9C_437/2008 du 19 mars 2009 consid. 4 et I 819/04 du 27 mai 2005 consid. 2.2 et les références).</w:t>
      </w:r>
    </w:p>
    <w:p>
      <w:r>
        <w:t>A/3178/2012 - 15/20 - Le Tribunal fédéral a précisé que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(ATF 138 V 457), soit dès que les documents médicaux permettent d'établir de manière fiable les faits y relatifs telle que la date d'une expertise (ATF du 4 mars 2013 9C 725/2012). A cet égard,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9</w:t>
      </w:r>
    </w:p>
    <w:p>
      <w:r>
        <w:t>L'art. 18 al. 1 première phrase LAI, dans sa teneur selon la novelle du 21 mars 2003 ([4ème révision de l'AI], en vigueur du 1er janvier 2004 au 31 décembre 2007), disposait que les assurés invalides qui sont susceptibles d'être réadaptés ont droit à</w:t>
      </w:r>
    </w:p>
    <w:p>
      <w:r>
        <w:t>A/3178/2012 - 16/20 - un soutien actif dans la recherche d'un emploi approprié, et, s'ils en ont déjà un, à un conseil suivi afin de le conserver.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ATFA non publié I 421/01 du 15 juillet 2002 consid. 2c, comparés aux ATF non publiés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(ATF non publié 9C_28/2009 du 11 mai 2009 consid. 4).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(ATFA non publié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w:t>
      </w:r>
    </w:p>
    <w:p>
      <w:r>
        <w:t>A/3178/2012 - 17/20 - travail est limitée uniquement du fait que seules des activités légères peuvent être exigées de l'assuré, il faut qu'il soit entravé de manière spécifique par l'atteinte à la santé dans la faculté de rechercher un emploi (ATFA non publié I 421/01 du 15 juillet 2002 consid. 2c, in VSI 2003 p. 274) principe dont la jurisprudence a admis qu'il demeurait valable également après l'entrée en vigueur de la 4ème et de la 5ème révision de l'AI (ATFA non publié I 427/05 du 24 mars 2006, in SVR 2006 IV Nr. 45 p. 162 ; ATF non publié 9C_416/2009 du 1er mars 2010, consid. 5.2). Au regard de l'art. 18 al. 1 LAI, dont le texte et le sens sont absolument clairs, la mesure d'aide au placement ne permet pas de prévoir une courte période d'observation professionnelle et d'entraînement au travail (ATF non publié 9C_416/2009 du 1er mars 2010, consid. 4.1 et 4.2). 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(ATFA non publié I 510/04 du 19 août 2005, consid. 3.1).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(ATFA non publié I 595/02 du 13 février 2003, consid. 1.2). Par ailleurs, les problèmes étrangers à l'invalidité, tels que le fait de ne pas savoir parler une des langues nationales, ne sont pas pris en considération lors de l'examen du droit à l'aide au placement (ATFA non publié I 421/01 du 15 juillet 2002, consid. 2c).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(ATFA non publié I 54/05 du 22 septembre 2004,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w:t>
      </w:r>
    </w:p>
    <w:p>
      <w:r>
        <w:t>A/3178/2012 - 18/20 - trouver un emploi résultent du handicap lui-même reste valable après l'entrée en vigueur de la 5ème révision de l'AI (ATF non publié 9C_416/2009 du 1er mars 2010, consid. 5.2).</w:t>
      </w:r>
    </w:p>
    <w:p>
      <w:r>
        <w:rPr>
          <w:b/>
        </w:rPr>
        <w:t>E. 10</w:t>
      </w:r>
    </w:p>
    <w:p>
      <w:r>
        <w:t>En l'espèce, figurent au dossier les avis médicaux des Drs S_________ (des 17 septembre 2010 et 9 juin 2011) V_________ (du 25 janvier 2011) U_________ (du 18 février 2013) et du SMR (des 15 septembre 2011, 30 août 2012 et 8 mars 2013). La Cour de céans constate que tous ces médecins sont d'avis que le recourant est incapable d'exercer ses activités antérieurs de restaurateur, tapissier et conducteur de minibus mais qu'une activité adaptée aux limitations fonctionnelles, soit sans port de charges, mouvements des épaules et qui ne soit pas dans un lieu exposé aux infections respiratoires, est exigible à 100 %. En effet, le Dr V_________ a admis un travail de bureau exigible, sans mouvements des épaules et de la nuque, le Dr W_________ a spécifié qu'aucune activité avec des ports de charge et bras au-dessus de la tête n'était possible et le SMR et le Dr U_________ ont relevé qu'une activité de bureau était exigible. Le Dr U_________ estime qu'une reprise d'activité est possible dès l'été 2012 en raison de l'amendement des effets du syndrome d'apnée du sommeil dès cette date alors que le SMR a fixé la date du début de la réadaptation à février 2011, au motif qu'il n'existait pas d'éléments médicaux objectifs permettant de privilégier la date fixée par le Dr U_________. A cet égard, la Cour de céans constate qu'aucun élément médical ne permet de considérer que le recourant n'aurait pas été à même d'exercer une activité adaptée à ses limitations fonctionnelles avant mai 2012; en particulier, il n'est pas établi que le syndrome d'apnée du sommeil aurait engendré une somnolence diurne incapacitante avant mai 2012. Il y a donc lieu de suivre l'appréciation du SMR selon laquelle l'aptitude à la réadaptation était exigible depuis mai 2011. Il convient encore de se demander si l'on peut exiger du recourant, vu son âge, une reconversion professionnelle, les activités antérieures de restaurateur, tapissier et conducteur de minibus n'étant plus possibles. A cet égard, le moment auquel il a été constaté que l'exercice d'une activité lucrative adaptée était médicalement exigible du recourant correspond au</w:t>
      </w:r>
    </w:p>
    <w:p>
      <w:r>
        <w:rPr>
          <w:b/>
        </w:rPr>
        <w:t>E. 15</w:t>
      </w:r>
    </w:p>
    <w:p>
      <w:r>
        <w:t>septembre 2011, date du rapport du SMR fixant le début de la réadaptation à février 2011. A cette date le recourant était âgé de 59 ans et 8 mois, soit un âge éloigné de celui à partir duquel le Tribunal fédéral reconnaît généralement que ce facteur devient déterminant, qu’il nécessite une approche particulière (ATF du 15 octobre 2008 9C 104/2008) et qu’il permet d'admettre qu'il n’existe plus de possibilités réalistes d'exploiter une capacité résiduelle de travail sur un marché du travail supposé équilibré (ATF du 4 mars 2013 9C 725/2012).</w:t>
      </w:r>
    </w:p>
    <w:p>
      <w:r>
        <w:t>A/3178/2012 - 19/20 - S'agissant de la reconversion professionnelle, force est de constater qu'elle est exigible de la part du recourant, celui-ci ayant, au cours de sa carrière, changé plusieurs fois de professions, lesquelles ont été exercées soit comme salarié, soit comme indépendant; or dans ce cas, le Tribunal fédéral considère que l'assuré a les ressources nécessaires pour une reconversion, ce d’autant lorsqu'il ne ressort pas du dossier, comme en l’espèce, que l’intéressé présenterait des difficultés d'adaptation (ATF du 15 mars 2011 9C 695/2010). 11. S'agissant du calcul du degré d'invalidité, le recourant a contesté le revenu sans invalidité dans la mesure où l'activité de chauffeur de minibus était prise en compte et indiqué que celle de tapissier, qu'il avait exercée, était pertinente. A cet égard, il est à constater que la dernière activité exercée par le recourant avant son atteinte à la santé (aux épaules et au pouce gauche) était celle de restaurateur, exercée de 1995 à 2003 et non pas celle de tapissier. C'est cette dernière activité de restaurateur qu'il convient de prendre en compte (ATF 129 V 222). Selon les déclarations du recourant, non contestées par l'intimé, l'activité de restaurateur lui permettait de bénéficier d'un salaire mensuel d'environ 4'500 fr. (entre 4'000 fr. et 5'000 fr.), soit un revenu annuel de 54'000 fr. Or, même si l'on retient le revenu allégué par le demandeur, le degré d'invalidité est insuffisant pour ouvrir droit à une rente et même bénéficier d'une mesure de reclassement, laquelle nécessite une perte de gain de 20 % au moins (ATF du 124 V 108). En effet, ce revenu de 54'000 fr., comparé au revenu d'invalide retenu par l'intimé et qui n'est pas contesté, de 46'231 fr., aboutit à un degré d'invalidité de 14 %. En revanche, compte tenu des déclarations en audience de la représentante de l'intimé quant à une éventuelle aide au placement octroyée en présence d'un degré d'invalidité de l'ordre de 15 % et de la motivation du recourant pour retrouver un emploi, il se justifie de renvoyer le dossier à l'intimé afin d'examiner si une telle aide peut être allouée à ce dernier. 12. Au vu de ce qui précède, le recours sera partiellement admis, la décision litigieuse étant confirmée dans la mesure où elle refuse toute rente et mesure de reclassement au recourant et la cause renvoyée à l'intimé afin qu'il examine si une aide au placement peut être octroyée au recourant. 13. Vu l'issue du litige, il se justifie de renoncer à tout émolument.</w:t>
      </w:r>
    </w:p>
    <w:p>
      <w:r>
        <w:t>A/3178/2012 - 20/20 -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