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ATAS/384/2011 vom 18. April 2011</w:t>
      </w:r>
    </w:p>
    <w:p>
      <w:r>
        <w:t>GE Cour de justice, 2011-04-18, FR</w:t>
      </w:r>
    </w:p>
    <w:p>
      <w:r>
        <w:rPr>
          <w:b/>
        </w:rPr>
        <w:t xml:space="preserve">Quelle: </w:t>
      </w:r>
      <w:r>
        <w:t>https://mcp.opencaselaw.ch/entscheid/ge_gerichte_ATAS_384_2011</w:t>
      </w:r>
    </w:p>
    <w:p>
      <w:r>
        <w:t>FR: GE_GERICHTE ATAS/384/2011 du 18 avril 2011</w:t>
      </w:r>
    </w:p>
    <w:p>
      <w:r>
        <w:t>IT: GE_GERICHTE ATAS/384/2011 del 18 aprile 2011</w:t>
      </w:r>
    </w:p>
    <w:p>
      <w:pPr>
        <w:pStyle w:val="Heading2"/>
      </w:pPr>
      <w:r>
        <w:t>Erwägungen</w:t>
      </w:r>
    </w:p>
    <w:p>
      <w:r>
        <w:rPr>
          <w:b/>
        </w:rPr>
        <w:t>E. 1</w:t>
      </w:r>
    </w:p>
    <w:p>
      <w:r>
        <w:t>Jusqu’au 31 décembre 2010,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une demande de prestation du 18 juillet 2007 et une incapacité de travail alléguée depuis novembre 2005.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 6 octobre 2006</w:t>
      </w:r>
    </w:p>
    <w:p>
      <w:r>
        <w:t>A/3507/2010 - 9/16 - (5ème révision de la LAI), entrées en vigueur le 1er janvier 2008, mais uniquement pour les faits postérieurs à cette date.</w:t>
      </w:r>
    </w:p>
    <w:p>
      <w:r>
        <w:rPr>
          <w:b/>
        </w:rPr>
        <w:t>E. 2</w:t>
      </w:r>
    </w:p>
    <w:p>
      <w:r>
        <w:t>a) L'art. 69 al. 1 LAI prévoit que les décisions des offices AI cantonaux peuvent faire directement l'objet d'un recours devant le tribunal des assurances du canton de l'office qui a rendu la décision. b) En l'espèce, l'OAI a communiqué à l'assuré un projet de décision en date du 10 août 2010, qui a été confirmé par la décision du 15 septembre 2010, contre laquelle l'assurée a interjeté directement recours devant la Cour de céans le 15 octobre 2010. c) Interjeté dans les forme et délai prévus par la loi, devant l'autorité compétente, le recours est en conséquence recevable (art. 56 ss LPGA).</w:t>
      </w:r>
    </w:p>
    <w:p>
      <w:r>
        <w:rPr>
          <w:b/>
        </w:rPr>
        <w:t>E. 3</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4</w:t>
      </w:r>
    </w:p>
    <w:p>
      <w:r>
        <w:t>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Selon l'art. 88a RAI, en vigueur depuis le 1er mars 2004, si la capacité de gain ou la capacité d’accomplir les travaux habituels d’un assuré s’améliore ou que son impotence ou le besoin de soins découlant de l’invalidité s’atténue, il y a lieu de</w:t>
      </w:r>
    </w:p>
    <w:p>
      <w:r>
        <w:t>A/3507/2010 - 10/16 -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w:t>
      </w:r>
    </w:p>
    <w:p>
      <w:r>
        <w:rPr>
          <w:b/>
        </w:rPr>
        <w:t>E. 5</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w:t>
      </w:r>
    </w:p>
    <w:p>
      <w:r>
        <w:t>A/3507/2010 - 11/16 -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6</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w:t>
      </w:r>
    </w:p>
    <w:p>
      <w:r>
        <w:t>A/3507/2010 - 12/16 - contenté d'une telle rémunération de manière durable (cf. AJP 2002 1487; RCC 1992 p. 96 consid. 4a).</w:t>
      </w:r>
    </w:p>
    <w:p>
      <w:r>
        <w:rPr>
          <w:b/>
        </w:rPr>
        <w:t>E. 7</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A/3507/2010 - 13/16 -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e)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8</w:t>
      </w:r>
    </w:p>
    <w:p>
      <w:r>
        <w:t>En l'espèce, le Tribunal cantonal des assurances sociales avait, dans son arrêt du 14 août 2009, ordonné à l'OAI de procéder à une instruction complémentaire par le biais d'une expertise pluridisciplinaire rhumatologique, neurologique, oto-rhino- laryngologique et psychiatrique. L'intimé a mandé le CEMed pour une expertise avec volets rhumatologique, psychiatrique et ORL selon avis du SMR du 17 novembre 2009. Dans le cadre du présent recours, les parties concluent toutes deux à l'ordonnance d'une expertise neurologique. Il convient en l'état, d'ordonner une telle expertise dès lors que l'aspect neurologique n'a pas fait l'objet de l'expertise du CEMed, étant précisé que la question de la valeur probante de l'expertise du CEMed et, en conséquence, celle de l'ordonnance d'une nouvelle expertise pluridisciplinaire judiciaire telle que requise par la recourante, sera examinée ultérieurement.</w:t>
      </w:r>
    </w:p>
    <w:p>
      <w:r>
        <w:t>A/3507/2010 - 14/16 -</w:t>
      </w:r>
    </w:p>
    <w:p>
      <w:r>
        <w:rPr>
          <w:b/>
        </w:rPr>
        <w:t>E. 9</w:t>
      </w:r>
    </w:p>
    <w:p>
      <w:r>
        <w:t>En conséquence, il convient d'ordonner une expertise neurologique, laquelle sera confiée au Dr F_________, spécialiste FMH en neurologie. Pour répondre aux observations des parties, les question 2g et 2q seront complétées.</w:t>
      </w:r>
    </w:p>
    <w:p>
      <w:r>
        <w:t>A/3507/2010 - 15/16 - PAR CES MOTIFS, LA CHAMBRE DES ASSURANCES SOCIALES : Statuant A la forme : 1. Déclare le recours recevable ; Préparatoirement : 2. Ordonne une expertise médicale. La confie au Dr F_________, spécialiste FMH en neurologie. Dit que la mission d’expertise sera la suivante : a. Prendre connaissance du dossier de la cause. b. Si nécessaire prendre tous renseignements auprès des médecins ayant traité Mme W___________. c. Examiner Mme W___________. d. Etablir un rapport détaillé et répondre aux questions suivantes: e. Quelle est l’anamnèse détaillée du cas ? f. Quelles sont les plaintes de Mme W___________ ? g. - Quelle est l’atteinte à la santé dont souffre Mme W___________ (diagnostics avec et sans répercussion sur la capacité de travail, dates d'apparition) ? - Quel est le status ? h. Les atteintes sont-elles objectivables ? Si oui, les plaintes sont-elles expliquées par de telles atteintes objectivables ? i. Quel est le status détaillé et l'évolution du status depuis le début de l'atteinte ? j. Mme W___________ suit-elle un traitement adéquat ? k. Quelles sont les limitations fonctionnelles ? l. Compte tenu de vos diagnostics, l’assurée pourrait-elle exercer une activité lucrative ? Si non, pourquoi ? Si oui, laquelle ? A quel taux ? Depuis quelle date ?</w:t>
      </w:r>
    </w:p>
    <w:p>
      <w:r>
        <w:t>A/3507/2010 - 16/16 - m. Une activité adaptée est-elle possible ? Si non ou dans une mesure restreinte, pour quels motifs ? Quelles sont les limitations fonctionnelles qui entrent en ligne de compte ? n. En particulier l'activité de vendeuse est-elle exigible ? Si non, depuis quelle date et pour quels motifs ? o. Quel est votre pronostic quant à l’exigibilité de la reprise d’une activité lucrative ? p. L'expertise du CEMed du 5 juillet 2010 a conclu à une capacité de travail de la recourante de 100 % dans une activité adaptée. Etes-vous d'accord avec cette appréciation ? Si non, pourquoi ? Veuillez motiver précisément vos divergences. q. Confirmez-vous le diagnostic de périarthrite de la hanche gauche (ou de la hanche droite ?) sur tendinite du moyen fessier ? Si oui, cette atteinte entraîne-t-elle une diminution de la capacité de travail de la recourante et dans quelle mesure ? r. Faire toutes autres observations ou suggestions utiles. 3. Réserve le sort des frais jusqu’à droit jugé au fond.</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