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ATAS/383/2020 vom 19. Mai 2020</w:t>
      </w:r>
    </w:p>
    <w:p>
      <w:r>
        <w:t>GE Cour de justice, 2020-05-19, FR</w:t>
      </w:r>
    </w:p>
    <w:p>
      <w:r>
        <w:rPr>
          <w:b/>
        </w:rPr>
        <w:t xml:space="preserve">Quelle: </w:t>
      </w:r>
      <w:r>
        <w:t>https://mcp.opencaselaw.ch/entscheid/ge_gerichte_ATAS_383_2020</w:t>
      </w:r>
    </w:p>
    <w:p>
      <w:r>
        <w:t>FR: GE_GERICHTE ATAS/383/2020 du 19 mai 2020</w:t>
      </w:r>
    </w:p>
    <w:p>
      <w:r>
        <w:t>IT: GE_GERICHTE ATAS/383/2020 del 19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- 4/6 - _____________________________________________________________________________</w:t>
      </w:r>
    </w:p>
    <w:p>
      <w:r>
        <w:t>A/4532/2019</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l'assuré à une rente complémentaire pour sa fille Olga et plus particulièrement sur la date à laquelle prend naissance ce droit.</w:t>
      </w:r>
    </w:p>
    <w:p>
      <w:r>
        <w:rPr>
          <w:b/>
        </w:rPr>
        <w:t>E. 4</w:t>
      </w:r>
    </w:p>
    <w:p>
      <w:r>
        <w:t>À teneur de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 gation à l'art. 20 LPGA, notamment pour les enfants de parents séparés ou divorcés (al. 4).</w:t>
      </w:r>
    </w:p>
    <w:p>
      <w:r>
        <w:rPr>
          <w:b/>
        </w:rPr>
        <w:t>E. 5</w:t>
      </w:r>
    </w:p>
    <w:p>
      <w:r>
        <w:t>L'art. 6 al. 2 LAI prévoit cependant que « Les étrangers ont droit aux prestations, sous réserve de l’art. 9, al. 3, aussi long- 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 miciliés hors de Suisse ». Le ch. 3342.2 des directives concernant les rentes précise que « Si le parent titulaire de la rente principale est de nationalité suisse, ressortissant de l'UE/AELE ou d’un État lié à la Suisse par une convention de sécurité sociale, le droit à la rente pour enfant existe indépendamment de la nationalité et du domicile de l’enfant. Pour le droit à la rente pour enfant, sont donc déterminants la national- ité et le domicile du parent titulaire de la rente principale. En revanche, aucun droit à la rente pour enfant n’existe pour le parent titulaire de la rente principale ressortissant d’un État non lié par une convention lorsque l’enfant n’a pas son domicile et sa résidence habituelle en Suisse et pour autant qu’il ne possède pas la nationalité suisse (ou UE/AELE) ».</w:t>
      </w:r>
    </w:p>
    <w:p>
      <w:r>
        <w:rPr>
          <w:b/>
        </w:rPr>
        <w:t>E. 6</w:t>
      </w:r>
    </w:p>
    <w:p>
      <w:r>
        <w:t>En l'espèce, l'assuré est au bénéfice d'une rente d'invalidité et peut prétendre à l'octroi de rente complémentaire pour enfant. Étant ressortissant du Cameroun, État avec lequel la Suisse n'a conclu aucune convention de sécurité sociale, il se voit ap- pliquer le ch. 3342.2 des directives concernant les rentes susmentionné, selon lequel sa fille ne peut pas lui donner droit à une rente complémentaire tant qu'elle est domiciliée et réside à l'étranger. L'assuré a alors fait valoir la précision « pour autant qu’il ne possède pas la nationalité suisse (ou UE/AELE) », entrée en vigueur le 1er janvier 2017, qui a été ajoutée à ce chiffre 3342.2, et rappelé que sa fille était de nationalité française.</w:t>
      </w:r>
    </w:p>
    <w:p>
      <w:r>
        <w:t>- 5/6 - _____________________________________________________________________________</w:t>
      </w:r>
    </w:p>
    <w:p>
      <w:r>
        <w:t>A/4532/2019 La caisse et l'OAI ont ainsi admis dans leurs écritures du 20 février 2020 que l'assu- ré avait droit à une rente complémentaire pour Olga à compter du 1er janvier 2017 et annoncé qu'une nouvelle décision allant dans ce sens serait notifiée à celui-ci. Force est toutefois de constater que Olga n'a acquis la nationalité française qu'en 2019. Aussi ne peut-elle donner droit à la rente complémentaire qu'à compter de la date à laquelle elle est devenue française, ou, si cette date devait être postérieure à août 2019, à compter d'août 2019.</w:t>
      </w:r>
    </w:p>
    <w:p>
      <w:r>
        <w:rPr>
          <w:b/>
        </w:rPr>
        <w:t>E. 7</w:t>
      </w:r>
    </w:p>
    <w:p>
      <w:r>
        <w:t>Le recours est ainsi partiellement admis et la décision du 7 novembre 2019 annulée en l'état. Dans la mesure où on ignore la date précise de l'acquisition de la nationali- té française, la cause est renvoyée à la caisse et à l'OAI pour instruction complé- mentaire et nouvelle décision dans le sens des considérants.</w:t>
      </w:r>
    </w:p>
    <w:p>
      <w:r>
        <w:t>- 6/6 - _____________________________________________________________________________</w:t>
      </w:r>
    </w:p>
    <w:p>
      <w:r>
        <w:t>A/4532/2019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